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《哲学与生命意义》课程教学大纲</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ascii="宋体" w:hAnsi="宋体" w:eastAsia="宋体"/>
              </w:rPr>
            </w:pPr>
            <w:r>
              <w:rPr>
                <w:rFonts w:hint="eastAsia" w:ascii="宋体" w:hAnsi="宋体" w:eastAsia="宋体"/>
              </w:rPr>
              <w:t>哲学与生命意义</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Times New Roman" w:hAnsi="Times New Roman" w:eastAsia="宋体" w:cs="Times New Roman"/>
              </w:rPr>
            </w:pPr>
            <w:r>
              <w:rPr>
                <w:rFonts w:ascii="Times New Roman" w:hAnsi="Times New Roman" w:eastAsia="宋体" w:cs="Times New Roman"/>
              </w:rPr>
              <w:t>PHIL4000</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ascii="宋体" w:hAnsi="宋体" w:eastAsia="宋体"/>
              </w:rPr>
            </w:pPr>
            <w:r>
              <w:rPr>
                <w:rFonts w:hint="eastAsia" w:ascii="宋体" w:hAnsi="宋体" w:eastAsia="宋体"/>
                <w:lang w:val="en-US" w:eastAsia="zh-CN"/>
              </w:rPr>
              <w:t>专业</w:t>
            </w:r>
            <w:bookmarkStart w:id="5" w:name="_GoBack"/>
            <w:bookmarkEnd w:id="5"/>
            <w:r>
              <w:rPr>
                <w:rFonts w:hint="eastAsia" w:ascii="宋体" w:hAnsi="宋体" w:eastAsia="宋体"/>
              </w:rPr>
              <w:t>选修课</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ascii="宋体" w:hAnsi="宋体" w:eastAsia="宋体"/>
              </w:rPr>
            </w:pPr>
            <w:r>
              <w:rPr>
                <w:rFonts w:hint="eastAsia" w:ascii="宋体" w:hAnsi="宋体" w:eastAsia="宋体"/>
              </w:rPr>
              <w:t>大二本科生</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ascii="宋体" w:hAnsi="宋体" w:eastAsia="宋体"/>
              </w:rPr>
            </w:pPr>
            <w:r>
              <w:rPr>
                <w:rFonts w:hint="eastAsia" w:ascii="宋体" w:hAnsi="宋体" w:eastAsia="宋体"/>
              </w:rPr>
              <w:t>2学分</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ascii="宋体" w:hAnsi="宋体" w:eastAsia="宋体"/>
              </w:rPr>
            </w:pPr>
            <w:r>
              <w:rPr>
                <w:rFonts w:hint="eastAsia" w:ascii="宋体" w:hAnsi="宋体" w:eastAsia="宋体"/>
              </w:rPr>
              <w:t>36学时</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ascii="宋体" w:hAnsi="宋体" w:eastAsia="宋体"/>
              </w:rPr>
            </w:pPr>
            <w:r>
              <w:rPr>
                <w:rFonts w:hint="eastAsia" w:ascii="宋体" w:hAnsi="宋体" w:eastAsia="宋体"/>
              </w:rPr>
              <w:t>高山</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ascii="宋体" w:hAnsi="宋体" w:eastAsia="宋体"/>
              </w:rPr>
            </w:pPr>
            <w:r>
              <w:rPr>
                <w:rFonts w:hint="eastAsia" w:ascii="宋体" w:hAnsi="宋体" w:eastAsia="宋体"/>
              </w:rPr>
              <w:t>2024年8月</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ascii="宋体" w:hAnsi="宋体" w:eastAsia="宋体"/>
              </w:rPr>
            </w:pPr>
            <w:r>
              <w:rPr>
                <w:rFonts w:hint="eastAsia" w:ascii="宋体" w:hAnsi="宋体" w:eastAsia="宋体"/>
              </w:rPr>
              <w:t>自编教材</w:t>
            </w: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4E74CCF4">
      <w:pPr>
        <w:pStyle w:val="2"/>
        <w:spacing w:before="156" w:beforeLines="50" w:after="156" w:afterLines="50"/>
        <w:ind w:firstLine="420" w:firstLineChars="200"/>
        <w:rPr>
          <w:rFonts w:hAnsi="宋体" w:cs="宋体"/>
          <w:szCs w:val="21"/>
        </w:rPr>
      </w:pPr>
      <w:r>
        <w:rPr>
          <w:rFonts w:hint="eastAsia" w:hAnsi="宋体" w:cs="宋体"/>
          <w:szCs w:val="21"/>
        </w:rPr>
        <w:t>使学生了解生命意义的各种当代理论，培养学生的批判思维能力，并且具备自己建构生命意义的能力。</w:t>
      </w:r>
    </w:p>
    <w:p w14:paraId="23DD3620">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 xml:space="preserve">总体目标： </w:t>
      </w:r>
    </w:p>
    <w:p w14:paraId="7872384C">
      <w:pPr>
        <w:pStyle w:val="2"/>
        <w:spacing w:before="156" w:beforeLines="50" w:after="156" w:afterLines="50"/>
        <w:ind w:firstLine="420" w:firstLineChars="200"/>
        <w:rPr>
          <w:rFonts w:hAnsi="宋体" w:cs="宋体"/>
          <w:szCs w:val="21"/>
        </w:rPr>
      </w:pPr>
      <w:r>
        <w:rPr>
          <w:rFonts w:hint="eastAsia" w:hAnsi="宋体" w:cs="宋体"/>
          <w:szCs w:val="21"/>
        </w:rPr>
        <w:t>培养学生掌握生命意义的核心哲学范畴，包括自我、自我超越与价值等，通过阅读经典原著和讨论等教学方法，培养学生对不同文化所建构的生命意义理论的探索精神，并具备能力形成自己的生命意义理论，来指导自己的生活实践。</w:t>
      </w:r>
    </w:p>
    <w:p w14:paraId="50E6B12C">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 xml:space="preserve"> </w:t>
      </w:r>
    </w:p>
    <w:p w14:paraId="3D27BEAD">
      <w:pPr>
        <w:pStyle w:val="2"/>
        <w:spacing w:before="156" w:beforeLines="50" w:after="156"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38CAB695">
      <w:pPr>
        <w:pStyle w:val="2"/>
        <w:spacing w:before="156" w:beforeLines="50" w:after="156" w:afterLines="50"/>
        <w:ind w:firstLine="422" w:firstLineChars="200"/>
        <w:rPr>
          <w:rFonts w:hAnsi="宋体" w:cs="宋体"/>
          <w:b/>
        </w:rPr>
      </w:pPr>
      <w:r>
        <w:rPr>
          <w:rFonts w:hint="eastAsia" w:hAnsi="宋体" w:cs="宋体"/>
          <w:b/>
        </w:rPr>
        <w:t>课程目标1：使学生掌握生命意义的主要理论派别</w:t>
      </w:r>
    </w:p>
    <w:p w14:paraId="53CB53C2">
      <w:pPr>
        <w:pStyle w:val="2"/>
        <w:spacing w:before="156" w:beforeLines="50" w:after="156" w:afterLines="50"/>
        <w:ind w:firstLine="420" w:firstLineChars="200"/>
        <w:rPr>
          <w:rFonts w:hAnsi="宋体" w:cs="宋体"/>
        </w:rPr>
      </w:pPr>
      <w:r>
        <w:rPr>
          <w:rFonts w:hint="eastAsia" w:hAnsi="宋体" w:cs="宋体"/>
        </w:rPr>
        <w:t>1．1 客观主义理论</w:t>
      </w:r>
    </w:p>
    <w:p w14:paraId="0A2C4F3A">
      <w:pPr>
        <w:pStyle w:val="2"/>
        <w:spacing w:before="156" w:beforeLines="50" w:after="156" w:afterLines="50"/>
        <w:ind w:firstLine="420" w:firstLineChars="200"/>
        <w:rPr>
          <w:rFonts w:hAnsi="宋体" w:cs="宋体"/>
        </w:rPr>
      </w:pPr>
      <w:r>
        <w:rPr>
          <w:rFonts w:hAnsi="宋体" w:cs="宋体"/>
        </w:rPr>
        <w:t>1</w:t>
      </w:r>
      <w:r>
        <w:rPr>
          <w:rFonts w:hint="eastAsia" w:hAnsi="宋体" w:cs="宋体"/>
        </w:rPr>
        <w:t>．2 主客观结合的理论</w:t>
      </w:r>
    </w:p>
    <w:p w14:paraId="60E80C88">
      <w:pPr>
        <w:pStyle w:val="2"/>
        <w:spacing w:before="156" w:beforeLines="50" w:after="156" w:afterLines="50"/>
        <w:ind w:firstLine="422" w:firstLineChars="200"/>
        <w:rPr>
          <w:rFonts w:hAnsi="宋体" w:cs="宋体"/>
          <w:b/>
        </w:rPr>
      </w:pPr>
      <w:r>
        <w:rPr>
          <w:rFonts w:hint="eastAsia" w:hAnsi="宋体" w:cs="宋体"/>
          <w:b/>
        </w:rPr>
        <w:t>课程目标2：使学生掌握自我与自我超越的范畴</w:t>
      </w:r>
    </w:p>
    <w:p w14:paraId="41359A8B">
      <w:pPr>
        <w:pStyle w:val="2"/>
        <w:spacing w:before="156" w:beforeLines="50" w:after="156" w:afterLines="50"/>
        <w:ind w:firstLine="420" w:firstLineChars="200"/>
        <w:rPr>
          <w:rFonts w:hAnsi="宋体" w:cs="宋体"/>
        </w:rPr>
      </w:pPr>
      <w:r>
        <w:rPr>
          <w:rFonts w:hint="eastAsia" w:hAnsi="宋体" w:cs="宋体"/>
        </w:rPr>
        <w:t>2．1 自我概念的界定</w:t>
      </w:r>
    </w:p>
    <w:p w14:paraId="20AD0388">
      <w:pPr>
        <w:pStyle w:val="2"/>
        <w:spacing w:before="156" w:beforeLines="50" w:after="156" w:afterLines="50"/>
        <w:ind w:firstLine="420" w:firstLineChars="200"/>
        <w:rPr>
          <w:rFonts w:hAnsi="宋体" w:cs="宋体"/>
        </w:rPr>
      </w:pPr>
      <w:r>
        <w:rPr>
          <w:rFonts w:hAnsi="宋体" w:cs="宋体"/>
        </w:rPr>
        <w:t>2</w:t>
      </w:r>
      <w:r>
        <w:rPr>
          <w:rFonts w:hint="eastAsia" w:hAnsi="宋体" w:cs="宋体"/>
        </w:rPr>
        <w:t>．2 自我超越</w:t>
      </w:r>
    </w:p>
    <w:p w14:paraId="286D30C1">
      <w:pPr>
        <w:pStyle w:val="2"/>
        <w:spacing w:before="156" w:beforeLines="50" w:after="156" w:afterLines="50"/>
        <w:ind w:firstLine="422" w:firstLineChars="200"/>
        <w:rPr>
          <w:rFonts w:hAnsi="宋体" w:cs="宋体"/>
          <w:b/>
        </w:rPr>
      </w:pPr>
      <w:r>
        <w:rPr>
          <w:rFonts w:hint="eastAsia" w:hAnsi="宋体" w:cs="宋体"/>
          <w:b/>
        </w:rPr>
        <w:t>课程目标3：使学生掌握生命意义理论中的重要范畴即价值</w:t>
      </w:r>
    </w:p>
    <w:p w14:paraId="7FF4265D">
      <w:pPr>
        <w:pStyle w:val="2"/>
        <w:spacing w:before="156" w:beforeLines="50" w:after="156" w:afterLines="50"/>
        <w:ind w:firstLine="420" w:firstLineChars="200"/>
        <w:rPr>
          <w:rFonts w:hAnsi="宋体" w:cs="宋体"/>
        </w:rPr>
      </w:pPr>
      <w:r>
        <w:rPr>
          <w:rFonts w:hint="eastAsia" w:hAnsi="宋体" w:cs="宋体"/>
        </w:rPr>
        <w:t>3. 1. 价值的范畴</w:t>
      </w:r>
    </w:p>
    <w:p w14:paraId="565FC974">
      <w:pPr>
        <w:pStyle w:val="2"/>
        <w:spacing w:before="156" w:beforeLines="50" w:after="156" w:afterLines="50"/>
        <w:ind w:firstLine="420" w:firstLineChars="200"/>
        <w:rPr>
          <w:rFonts w:hAnsi="宋体" w:cs="宋体"/>
        </w:rPr>
      </w:pPr>
      <w:r>
        <w:rPr>
          <w:rFonts w:hint="eastAsia" w:hAnsi="宋体" w:cs="宋体"/>
        </w:rPr>
        <w:t>3. 2. 真理、善和美</w:t>
      </w:r>
    </w:p>
    <w:p w14:paraId="5470BE36">
      <w:pPr>
        <w:pStyle w:val="2"/>
        <w:spacing w:before="156" w:beforeLines="50" w:after="156"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14:paraId="043E0459">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5A397EEE">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7065B9D0">
            <w:pPr>
              <w:pStyle w:val="2"/>
              <w:spacing w:before="156" w:beforeLines="50" w:after="156" w:afterLines="50"/>
              <w:jc w:val="center"/>
              <w:rPr>
                <w:rFonts w:hAnsi="宋体" w:cs="宋体"/>
              </w:rPr>
            </w:pPr>
            <w:r>
              <w:rPr>
                <w:rFonts w:ascii="Times New Roman" w:hAnsi="Times New Roman"/>
              </w:rPr>
              <w:t>Thaddeus Metz</w:t>
            </w:r>
            <w:r>
              <w:rPr>
                <w:rFonts w:hint="eastAsia" w:ascii="Times New Roman" w:hAnsi="Times New Roman"/>
              </w:rPr>
              <w:t>的生命意义理论</w:t>
            </w:r>
          </w:p>
        </w:tc>
        <w:tc>
          <w:tcPr>
            <w:tcW w:w="2688" w:type="dxa"/>
            <w:vAlign w:val="center"/>
          </w:tcPr>
          <w:p w14:paraId="099652AF">
            <w:pPr>
              <w:pStyle w:val="2"/>
              <w:spacing w:before="156" w:beforeLines="50" w:after="156" w:afterLines="50"/>
              <w:rPr>
                <w:rFonts w:hAnsi="宋体" w:cs="宋体"/>
              </w:rPr>
            </w:pPr>
            <w:r>
              <w:rPr>
                <w:rFonts w:hint="eastAsia" w:hAnsi="宋体" w:cs="宋体"/>
              </w:rPr>
              <w:t xml:space="preserve">   理解客观主义生命意义理论</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Ansi="宋体" w:cs="宋体"/>
                <w:szCs w:val="21"/>
              </w:rPr>
            </w:pPr>
          </w:p>
        </w:tc>
        <w:tc>
          <w:tcPr>
            <w:tcW w:w="1959" w:type="dxa"/>
            <w:vAlign w:val="center"/>
          </w:tcPr>
          <w:p w14:paraId="757DC332">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74B6519E">
            <w:pPr>
              <w:pStyle w:val="2"/>
              <w:spacing w:before="156" w:beforeLines="50" w:after="156" w:afterLines="50"/>
              <w:jc w:val="center"/>
              <w:rPr>
                <w:rFonts w:hAnsi="宋体" w:cs="宋体"/>
              </w:rPr>
            </w:pPr>
            <w:r>
              <w:rPr>
                <w:rFonts w:ascii="Times New Roman" w:hAnsi="Times New Roman"/>
              </w:rPr>
              <w:t>Susan Wolf</w:t>
            </w:r>
            <w:r>
              <w:rPr>
                <w:rFonts w:hint="eastAsia" w:hAnsi="宋体" w:cs="宋体"/>
              </w:rPr>
              <w:t>的生命意义理论</w:t>
            </w:r>
          </w:p>
        </w:tc>
        <w:tc>
          <w:tcPr>
            <w:tcW w:w="2688" w:type="dxa"/>
            <w:vAlign w:val="center"/>
          </w:tcPr>
          <w:p w14:paraId="11660F5D">
            <w:pPr>
              <w:pStyle w:val="2"/>
              <w:spacing w:before="156" w:beforeLines="50" w:after="156" w:afterLines="50"/>
              <w:jc w:val="center"/>
              <w:rPr>
                <w:rFonts w:hAnsi="宋体" w:cs="宋体"/>
              </w:rPr>
            </w:pPr>
            <w:r>
              <w:rPr>
                <w:rFonts w:hint="eastAsia" w:hAnsi="宋体" w:cs="宋体"/>
              </w:rPr>
              <w:t>理解主客观结合的生命意义理论</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1AB21B48">
            <w:pPr>
              <w:pStyle w:val="2"/>
              <w:spacing w:before="156" w:beforeLines="50" w:after="156" w:afterLines="50"/>
              <w:jc w:val="center"/>
              <w:rPr>
                <w:rFonts w:hAnsi="宋体" w:cs="宋体"/>
              </w:rPr>
            </w:pPr>
            <w:r>
              <w:rPr>
                <w:rFonts w:hint="eastAsia" w:hAnsi="宋体" w:cs="宋体"/>
              </w:rPr>
              <w:t>中西哲学历史对自我的理解</w:t>
            </w:r>
          </w:p>
        </w:tc>
        <w:tc>
          <w:tcPr>
            <w:tcW w:w="2688" w:type="dxa"/>
            <w:vAlign w:val="center"/>
          </w:tcPr>
          <w:p w14:paraId="3DCD50FA">
            <w:pPr>
              <w:pStyle w:val="2"/>
              <w:spacing w:before="156" w:beforeLines="50" w:after="156" w:afterLines="50"/>
              <w:jc w:val="center"/>
              <w:rPr>
                <w:rFonts w:hAnsi="宋体" w:cs="宋体"/>
              </w:rPr>
            </w:pPr>
            <w:r>
              <w:rPr>
                <w:rFonts w:hint="eastAsia" w:hAnsi="宋体" w:cs="宋体"/>
              </w:rPr>
              <w:t>掌握主要的中西哲学家对自我的理解</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06B4FBA">
            <w:pPr>
              <w:pStyle w:val="2"/>
              <w:spacing w:before="156" w:beforeLines="50" w:after="156" w:afterLines="50"/>
              <w:jc w:val="center"/>
              <w:rPr>
                <w:rFonts w:hAnsi="宋体" w:cs="宋体"/>
                <w:szCs w:val="21"/>
              </w:rPr>
            </w:pPr>
          </w:p>
        </w:tc>
        <w:tc>
          <w:tcPr>
            <w:tcW w:w="1959" w:type="dxa"/>
            <w:vAlign w:val="center"/>
          </w:tcPr>
          <w:p w14:paraId="6FDE7686">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4475D85C">
            <w:pPr>
              <w:pStyle w:val="2"/>
              <w:spacing w:before="156" w:beforeLines="50" w:after="156" w:afterLines="50"/>
              <w:jc w:val="center"/>
              <w:rPr>
                <w:rFonts w:ascii="黑体" w:hAnsi="宋体"/>
                <w:szCs w:val="21"/>
              </w:rPr>
            </w:pPr>
            <w:r>
              <w:rPr>
                <w:rFonts w:hint="eastAsia" w:ascii="黑体" w:hAnsi="宋体"/>
                <w:szCs w:val="21"/>
              </w:rPr>
              <w:t>中西哲学历史对自我超越的理解</w:t>
            </w:r>
          </w:p>
        </w:tc>
        <w:tc>
          <w:tcPr>
            <w:tcW w:w="2688" w:type="dxa"/>
            <w:vAlign w:val="center"/>
          </w:tcPr>
          <w:p w14:paraId="77FA07A0">
            <w:pPr>
              <w:pStyle w:val="2"/>
              <w:spacing w:before="156" w:beforeLines="50" w:after="156" w:afterLines="50"/>
              <w:jc w:val="center"/>
              <w:rPr>
                <w:rFonts w:hAnsi="宋体" w:cs="宋体"/>
              </w:rPr>
            </w:pPr>
            <w:r>
              <w:rPr>
                <w:rFonts w:hint="eastAsia" w:hAnsi="宋体" w:cs="宋体"/>
              </w:rPr>
              <w:t>掌握主要的中西哲学家对自我超越的理解</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9410C1F">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2"/>
              <w:spacing w:before="156" w:beforeLines="50" w:after="156" w:afterLines="50"/>
              <w:jc w:val="center"/>
              <w:rPr>
                <w:rFonts w:hAnsi="宋体" w:cs="宋体"/>
              </w:rPr>
            </w:pPr>
            <w:r>
              <w:rPr>
                <w:rFonts w:hAnsi="宋体" w:cs="宋体"/>
                <w:szCs w:val="21"/>
              </w:rPr>
              <w:t>3.1</w:t>
            </w:r>
          </w:p>
        </w:tc>
        <w:tc>
          <w:tcPr>
            <w:tcW w:w="3118" w:type="dxa"/>
            <w:vAlign w:val="center"/>
          </w:tcPr>
          <w:p w14:paraId="3DC01ADF">
            <w:pPr>
              <w:pStyle w:val="2"/>
              <w:spacing w:before="156" w:beforeLines="50" w:after="156" w:afterLines="50"/>
              <w:jc w:val="center"/>
              <w:rPr>
                <w:rFonts w:ascii="黑体" w:hAnsi="宋体"/>
                <w:szCs w:val="21"/>
              </w:rPr>
            </w:pPr>
            <w:r>
              <w:rPr>
                <w:rFonts w:hint="eastAsia" w:ascii="黑体" w:hAnsi="宋体"/>
                <w:szCs w:val="21"/>
              </w:rPr>
              <w:t>核心的价值：真理、善和美</w:t>
            </w:r>
          </w:p>
        </w:tc>
        <w:tc>
          <w:tcPr>
            <w:tcW w:w="2688" w:type="dxa"/>
            <w:vAlign w:val="center"/>
          </w:tcPr>
          <w:p w14:paraId="0DD3AC4A">
            <w:pPr>
              <w:pStyle w:val="2"/>
              <w:spacing w:before="156" w:beforeLines="50" w:after="156" w:afterLines="50"/>
              <w:jc w:val="center"/>
              <w:rPr>
                <w:rFonts w:hAnsi="宋体" w:cs="宋体"/>
              </w:rPr>
            </w:pPr>
            <w:r>
              <w:rPr>
                <w:rFonts w:hint="eastAsia" w:hAnsi="宋体" w:cs="宋体"/>
              </w:rPr>
              <w:t>中西哲学对核心价值的不同解读</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0EBBD74">
            <w:pPr>
              <w:pStyle w:val="2"/>
              <w:spacing w:before="156" w:beforeLines="50" w:after="156" w:afterLines="50"/>
              <w:jc w:val="center"/>
              <w:rPr>
                <w:rFonts w:hAnsi="宋体" w:cs="宋体"/>
                <w:szCs w:val="21"/>
              </w:rPr>
            </w:pPr>
          </w:p>
        </w:tc>
        <w:tc>
          <w:tcPr>
            <w:tcW w:w="1959" w:type="dxa"/>
            <w:vAlign w:val="center"/>
          </w:tcPr>
          <w:p w14:paraId="1ECFF145">
            <w:pPr>
              <w:pStyle w:val="2"/>
              <w:spacing w:before="156" w:beforeLines="50" w:after="156" w:afterLines="50"/>
              <w:jc w:val="center"/>
              <w:rPr>
                <w:rFonts w:hAnsi="宋体" w:cs="宋体"/>
              </w:rPr>
            </w:pPr>
            <w:r>
              <w:rPr>
                <w:rFonts w:hAnsi="宋体" w:cs="宋体"/>
                <w:szCs w:val="21"/>
              </w:rPr>
              <w:t>3.2</w:t>
            </w:r>
          </w:p>
        </w:tc>
        <w:tc>
          <w:tcPr>
            <w:tcW w:w="3118" w:type="dxa"/>
            <w:vAlign w:val="center"/>
          </w:tcPr>
          <w:p w14:paraId="2A67ADB9">
            <w:pPr>
              <w:pStyle w:val="2"/>
              <w:spacing w:before="156" w:beforeLines="50" w:after="156" w:afterLines="50"/>
              <w:jc w:val="center"/>
              <w:rPr>
                <w:rFonts w:ascii="黑体" w:hAnsi="宋体"/>
                <w:szCs w:val="21"/>
              </w:rPr>
            </w:pPr>
            <w:r>
              <w:rPr>
                <w:rFonts w:hint="eastAsia" w:ascii="黑体" w:hAnsi="宋体"/>
                <w:szCs w:val="21"/>
              </w:rPr>
              <w:t>价值的演变</w:t>
            </w:r>
          </w:p>
        </w:tc>
        <w:tc>
          <w:tcPr>
            <w:tcW w:w="2688" w:type="dxa"/>
            <w:vAlign w:val="center"/>
          </w:tcPr>
          <w:p w14:paraId="66805AE3">
            <w:pPr>
              <w:pStyle w:val="2"/>
              <w:spacing w:before="156" w:beforeLines="50" w:after="156" w:afterLines="50"/>
              <w:jc w:val="center"/>
              <w:rPr>
                <w:rFonts w:hAnsi="宋体" w:cs="宋体"/>
              </w:rPr>
            </w:pPr>
            <w:r>
              <w:rPr>
                <w:rFonts w:hint="eastAsia" w:hAnsi="宋体" w:cs="宋体"/>
              </w:rPr>
              <w:t>掌握价值的演变</w:t>
            </w:r>
          </w:p>
        </w:tc>
      </w:tr>
    </w:tbl>
    <w:p w14:paraId="54658555">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4A46F28A">
      <w:pPr>
        <w:widowControl/>
        <w:spacing w:before="156" w:beforeLines="50" w:after="156" w:afterLines="50"/>
        <w:ind w:firstLine="482" w:firstLineChars="200"/>
        <w:jc w:val="left"/>
      </w:pPr>
      <w:r>
        <w:rPr>
          <w:rFonts w:hint="eastAsia" w:ascii="黑体" w:hAnsi="黑体" w:eastAsia="黑体" w:cs="Times New Roman"/>
          <w:b/>
          <w:sz w:val="24"/>
          <w:szCs w:val="24"/>
        </w:rPr>
        <w:t>第一章 客观的生命意义理论</w:t>
      </w:r>
      <w:r>
        <w:rPr>
          <w:rFonts w:hint="eastAsia" w:ascii="宋体" w:hAnsi="宋体" w:cs="宋体"/>
          <w:b/>
          <w:color w:val="000000"/>
          <w:kern w:val="0"/>
          <w:sz w:val="20"/>
          <w:szCs w:val="20"/>
        </w:rPr>
        <w:t xml:space="preserve"> </w:t>
      </w:r>
    </w:p>
    <w:p w14:paraId="1ED3720D">
      <w:pPr>
        <w:widowControl/>
        <w:spacing w:before="156" w:beforeLines="50" w:after="156" w:afterLines="50"/>
        <w:ind w:firstLine="420" w:firstLineChars="200"/>
        <w:jc w:val="left"/>
        <w:rPr>
          <w:rFonts w:ascii="宋体" w:hAnsi="宋体" w:eastAsia="宋体"/>
          <w:szCs w:val="21"/>
        </w:rPr>
      </w:pPr>
      <w:bookmarkStart w:id="0" w:name="_Hlk176032562"/>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让学生掌握代表客观主义生命意义理论的主要观点</w:t>
      </w:r>
    </w:p>
    <w:p w14:paraId="30CB0F0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上帝</w:t>
      </w:r>
    </w:p>
    <w:p w14:paraId="790B4844">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以客观唯心主义为基础的生命意义理论</w:t>
      </w:r>
    </w:p>
    <w:p w14:paraId="40E04DAB">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7810616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bookmarkEnd w:id="0"/>
    <w:p w14:paraId="06CBA39C">
      <w:pPr>
        <w:widowControl/>
        <w:spacing w:before="156" w:beforeLines="50" w:after="156" w:afterLines="50"/>
        <w:ind w:firstLine="482" w:firstLineChars="200"/>
        <w:jc w:val="left"/>
        <w:rPr>
          <w:rFonts w:ascii="黑体" w:hAnsi="黑体" w:eastAsia="黑体" w:cs="Times New Roman"/>
          <w:b/>
          <w:sz w:val="24"/>
          <w:szCs w:val="24"/>
        </w:rPr>
      </w:pPr>
      <w:bookmarkStart w:id="1" w:name="_Hlk176032390"/>
      <w:r>
        <w:rPr>
          <w:rFonts w:hint="eastAsia" w:ascii="黑体" w:hAnsi="黑体" w:eastAsia="黑体" w:cs="Times New Roman"/>
          <w:b/>
          <w:sz w:val="24"/>
          <w:szCs w:val="24"/>
        </w:rPr>
        <w:t xml:space="preserve">第二章 </w:t>
      </w:r>
      <w:bookmarkEnd w:id="1"/>
      <w:r>
        <w:rPr>
          <w:rFonts w:hint="eastAsia" w:ascii="黑体" w:hAnsi="黑体" w:eastAsia="黑体" w:cs="Times New Roman"/>
          <w:b/>
          <w:sz w:val="24"/>
          <w:szCs w:val="24"/>
        </w:rPr>
        <w:t>主客观结合的生命意义理论</w:t>
      </w:r>
    </w:p>
    <w:p w14:paraId="1720E3B8">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让学生掌握SUSAN WOLF的生命意义理论</w:t>
      </w:r>
    </w:p>
    <w:p w14:paraId="63CCCC1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“爱值得热爱的事物”，什么是值得热爱的</w:t>
      </w:r>
    </w:p>
    <w:p w14:paraId="42BE0AFC">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主客观结合的生命意义理论产生的背景与学术影响力</w:t>
      </w:r>
    </w:p>
    <w:p w14:paraId="0FB838B8">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2964B62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p w14:paraId="33B4E0DC">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 中西哲学的自我概念</w:t>
      </w:r>
    </w:p>
    <w:p w14:paraId="5D560B3E">
      <w:pPr>
        <w:widowControl/>
        <w:spacing w:before="156" w:beforeLines="50" w:after="156" w:afterLines="50"/>
        <w:ind w:firstLine="420" w:firstLineChars="200"/>
        <w:jc w:val="left"/>
        <w:rPr>
          <w:rFonts w:ascii="宋体" w:hAnsi="宋体" w:eastAsia="宋体"/>
          <w:szCs w:val="21"/>
        </w:rPr>
      </w:pPr>
      <w:bookmarkStart w:id="2" w:name="_Hlk176032843"/>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让学生掌握中西哲学的自我概念的不同解释</w:t>
      </w:r>
    </w:p>
    <w:p w14:paraId="48FA2C6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中西哲学代表自我的核心哲学范畴</w:t>
      </w:r>
    </w:p>
    <w:p w14:paraId="408748CF">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中国哲学用于解释自我的哲学范畴/西方哲学用于解释自我的核心范畴</w:t>
      </w:r>
    </w:p>
    <w:p w14:paraId="210106AA">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07E7A94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bookmarkEnd w:id="2"/>
    <w:p w14:paraId="459D7B37">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 中西哲学的自我超越</w:t>
      </w:r>
    </w:p>
    <w:p w14:paraId="1F747A6D">
      <w:pPr>
        <w:widowControl/>
        <w:spacing w:before="156" w:beforeLines="50" w:after="156" w:afterLines="50"/>
        <w:ind w:firstLine="420" w:firstLineChars="200"/>
        <w:jc w:val="left"/>
        <w:rPr>
          <w:rFonts w:ascii="宋体" w:hAnsi="宋体" w:eastAsia="宋体"/>
          <w:szCs w:val="21"/>
        </w:rPr>
      </w:pPr>
      <w:bookmarkStart w:id="3" w:name="_Hlk176032900"/>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让学生掌握中西哲学的自我超越概念的不同解释</w:t>
      </w:r>
    </w:p>
    <w:p w14:paraId="52897C5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自我超越的逻辑</w:t>
      </w:r>
    </w:p>
    <w:p w14:paraId="7F740026">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自我超越的必然性</w:t>
      </w:r>
    </w:p>
    <w:p w14:paraId="2036BD4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3ABDD1B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bookmarkEnd w:id="3"/>
    <w:p w14:paraId="154FE7A2">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 价值</w:t>
      </w:r>
    </w:p>
    <w:p w14:paraId="00C6AC39">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让学生掌握生命意义理论中的价值范畴</w:t>
      </w:r>
    </w:p>
    <w:p w14:paraId="60C9A98C">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价值与真理、善和美的关系</w:t>
      </w:r>
    </w:p>
    <w:p w14:paraId="337A4B75">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价值与力量</w:t>
      </w:r>
    </w:p>
    <w:p w14:paraId="75ADA68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21D9D5B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p w14:paraId="373ED7CF">
      <w:pPr>
        <w:widowControl/>
        <w:spacing w:before="156" w:beforeLines="50" w:after="156" w:afterLines="50"/>
        <w:ind w:firstLine="482" w:firstLineChars="200"/>
        <w:jc w:val="left"/>
        <w:rPr>
          <w:rFonts w:ascii="黑体" w:hAnsi="黑体" w:eastAsia="黑体" w:cs="Times New Roman"/>
          <w:b/>
          <w:sz w:val="24"/>
          <w:szCs w:val="24"/>
        </w:rPr>
      </w:pPr>
    </w:p>
    <w:p w14:paraId="4D505AF5">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 价值的演变</w:t>
      </w:r>
    </w:p>
    <w:p w14:paraId="3CE8BD80">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让学生了解不同文化价值观的演变逻辑</w:t>
      </w:r>
    </w:p>
    <w:p w14:paraId="47BAA02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 价值的变迁</w:t>
      </w:r>
    </w:p>
    <w:p w14:paraId="5D9FE5E4">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 价值的客观性与主观性</w:t>
      </w:r>
    </w:p>
    <w:p w14:paraId="5A434C38">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课堂阅读讨论</w:t>
      </w:r>
    </w:p>
    <w:p w14:paraId="62CFEBD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 阅读笔记</w:t>
      </w:r>
    </w:p>
    <w:p w14:paraId="14CB46C2">
      <w:pPr>
        <w:widowControl/>
        <w:spacing w:before="156" w:beforeLines="50" w:after="156" w:afterLines="50"/>
        <w:ind w:firstLine="420" w:firstLineChars="200"/>
        <w:jc w:val="left"/>
      </w:pP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1BB97EAB">
            <w:pPr>
              <w:widowControl/>
              <w:spacing w:before="156" w:beforeLines="50" w:after="156" w:afterLines="50"/>
              <w:jc w:val="center"/>
              <w:rPr>
                <w:rFonts w:ascii="宋体" w:hAnsi="宋体" w:eastAsia="宋体"/>
              </w:rPr>
            </w:pPr>
            <w:r>
              <w:rPr>
                <w:rFonts w:hint="eastAsia" w:ascii="宋体" w:hAnsi="宋体" w:eastAsia="宋体"/>
              </w:rPr>
              <w:t>客观主义生命意义理论</w:t>
            </w:r>
          </w:p>
        </w:tc>
        <w:tc>
          <w:tcPr>
            <w:tcW w:w="2766" w:type="dxa"/>
            <w:vAlign w:val="center"/>
          </w:tcPr>
          <w:p w14:paraId="363D1EB1">
            <w:pPr>
              <w:widowControl/>
              <w:spacing w:before="156" w:beforeLines="50" w:after="156" w:afterLines="50"/>
              <w:jc w:val="center"/>
              <w:rPr>
                <w:rFonts w:ascii="宋体" w:hAnsi="宋体" w:eastAsia="宋体"/>
              </w:rPr>
            </w:pPr>
            <w:r>
              <w:rPr>
                <w:rFonts w:hint="eastAsia" w:ascii="宋体" w:hAnsi="宋体" w:eastAsia="宋体"/>
              </w:rPr>
              <w:t>6</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46BE9160">
            <w:pPr>
              <w:widowControl/>
              <w:spacing w:before="156" w:beforeLines="50" w:after="156" w:afterLines="50"/>
              <w:jc w:val="center"/>
              <w:rPr>
                <w:rFonts w:ascii="宋体" w:hAnsi="宋体" w:eastAsia="宋体"/>
              </w:rPr>
            </w:pPr>
            <w:r>
              <w:rPr>
                <w:rFonts w:hint="eastAsia" w:ascii="宋体" w:hAnsi="宋体" w:eastAsia="宋体"/>
              </w:rPr>
              <w:t>主客观结合的生命意义理论</w:t>
            </w:r>
          </w:p>
        </w:tc>
        <w:tc>
          <w:tcPr>
            <w:tcW w:w="2766" w:type="dxa"/>
            <w:vAlign w:val="center"/>
          </w:tcPr>
          <w:p w14:paraId="17DBF8B4">
            <w:pPr>
              <w:widowControl/>
              <w:spacing w:before="156" w:beforeLines="50" w:after="156" w:afterLines="50"/>
              <w:jc w:val="center"/>
              <w:rPr>
                <w:rFonts w:ascii="宋体" w:hAnsi="宋体" w:eastAsia="宋体"/>
              </w:rPr>
            </w:pPr>
            <w:r>
              <w:rPr>
                <w:rFonts w:hint="eastAsia" w:ascii="宋体" w:hAnsi="宋体" w:eastAsia="宋体"/>
              </w:rPr>
              <w:t>6</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65836CCD">
            <w:pPr>
              <w:widowControl/>
              <w:spacing w:before="156" w:beforeLines="50" w:after="156" w:afterLines="50"/>
              <w:jc w:val="center"/>
              <w:rPr>
                <w:rFonts w:ascii="宋体" w:hAnsi="宋体" w:eastAsia="宋体"/>
              </w:rPr>
            </w:pPr>
            <w:r>
              <w:rPr>
                <w:rFonts w:hint="eastAsia" w:ascii="宋体" w:hAnsi="宋体" w:eastAsia="宋体"/>
              </w:rPr>
              <w:t>自我</w:t>
            </w:r>
          </w:p>
        </w:tc>
        <w:tc>
          <w:tcPr>
            <w:tcW w:w="2766" w:type="dxa"/>
            <w:vAlign w:val="center"/>
          </w:tcPr>
          <w:p w14:paraId="7DF1DFC4">
            <w:pPr>
              <w:widowControl/>
              <w:spacing w:before="156" w:beforeLines="50" w:after="156" w:afterLines="50"/>
              <w:jc w:val="center"/>
              <w:rPr>
                <w:rFonts w:ascii="宋体" w:hAnsi="宋体" w:eastAsia="宋体"/>
              </w:rPr>
            </w:pPr>
            <w:r>
              <w:rPr>
                <w:rFonts w:hint="eastAsia" w:ascii="宋体" w:hAnsi="宋体" w:eastAsia="宋体"/>
              </w:rPr>
              <w:t>6</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017CA248">
            <w:pPr>
              <w:widowControl/>
              <w:spacing w:before="156" w:beforeLines="50" w:after="156" w:afterLines="50"/>
              <w:jc w:val="center"/>
              <w:rPr>
                <w:rFonts w:ascii="宋体" w:hAnsi="宋体" w:eastAsia="宋体"/>
              </w:rPr>
            </w:pPr>
            <w:r>
              <w:rPr>
                <w:rFonts w:hint="eastAsia" w:ascii="宋体" w:hAnsi="宋体" w:eastAsia="宋体"/>
              </w:rPr>
              <w:t>自我超越</w:t>
            </w:r>
          </w:p>
        </w:tc>
        <w:tc>
          <w:tcPr>
            <w:tcW w:w="2766" w:type="dxa"/>
            <w:vAlign w:val="center"/>
          </w:tcPr>
          <w:p w14:paraId="256A5CE1">
            <w:pPr>
              <w:widowControl/>
              <w:spacing w:before="156" w:beforeLines="50" w:after="156" w:afterLines="50"/>
              <w:jc w:val="center"/>
              <w:rPr>
                <w:rFonts w:ascii="宋体" w:hAnsi="宋体" w:eastAsia="宋体"/>
              </w:rPr>
            </w:pPr>
            <w:r>
              <w:rPr>
                <w:rFonts w:hint="eastAsia" w:ascii="宋体" w:hAnsi="宋体" w:eastAsia="宋体"/>
              </w:rPr>
              <w:t>6</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60D4AC38">
            <w:pPr>
              <w:widowControl/>
              <w:spacing w:before="156" w:beforeLines="50" w:after="156" w:afterLines="50"/>
              <w:jc w:val="center"/>
              <w:rPr>
                <w:rFonts w:ascii="宋体" w:hAnsi="宋体" w:eastAsia="宋体"/>
              </w:rPr>
            </w:pPr>
            <w:r>
              <w:rPr>
                <w:rFonts w:hint="eastAsia" w:ascii="宋体" w:hAnsi="宋体" w:eastAsia="宋体"/>
              </w:rPr>
              <w:t>价值</w:t>
            </w:r>
          </w:p>
        </w:tc>
        <w:tc>
          <w:tcPr>
            <w:tcW w:w="2766" w:type="dxa"/>
            <w:vAlign w:val="center"/>
          </w:tcPr>
          <w:p w14:paraId="59DFB9E2">
            <w:pPr>
              <w:widowControl/>
              <w:spacing w:before="156" w:beforeLines="50" w:after="156" w:afterLines="50"/>
              <w:jc w:val="center"/>
              <w:rPr>
                <w:rFonts w:ascii="宋体" w:hAnsi="宋体" w:eastAsia="宋体"/>
              </w:rPr>
            </w:pPr>
            <w:r>
              <w:rPr>
                <w:rFonts w:hint="eastAsia" w:ascii="宋体" w:hAnsi="宋体" w:eastAsia="宋体"/>
              </w:rPr>
              <w:t>6</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14:paraId="7C8C55C7">
            <w:pPr>
              <w:widowControl/>
              <w:spacing w:before="156" w:beforeLines="50" w:after="156" w:afterLines="50"/>
              <w:jc w:val="center"/>
              <w:rPr>
                <w:rFonts w:ascii="宋体" w:hAnsi="宋体" w:eastAsia="宋体"/>
              </w:rPr>
            </w:pPr>
            <w:r>
              <w:rPr>
                <w:rFonts w:hint="eastAsia" w:ascii="宋体" w:hAnsi="宋体" w:eastAsia="宋体"/>
              </w:rPr>
              <w:t>价值的演变</w:t>
            </w:r>
          </w:p>
        </w:tc>
        <w:tc>
          <w:tcPr>
            <w:tcW w:w="2766" w:type="dxa"/>
            <w:vAlign w:val="center"/>
          </w:tcPr>
          <w:p w14:paraId="2EC3BA77">
            <w:pPr>
              <w:widowControl/>
              <w:spacing w:before="156" w:beforeLines="50" w:after="156" w:afterLines="50"/>
              <w:jc w:val="center"/>
              <w:rPr>
                <w:rFonts w:ascii="宋体" w:hAnsi="宋体" w:eastAsia="宋体"/>
              </w:rPr>
            </w:pPr>
            <w:r>
              <w:rPr>
                <w:rFonts w:hint="eastAsia" w:ascii="宋体" w:hAnsi="宋体" w:eastAsia="宋体"/>
              </w:rPr>
              <w:t>6</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ascii="宋体" w:hAnsi="宋体" w:eastAsia="宋体"/>
                <w:szCs w:val="21"/>
              </w:rPr>
            </w:pPr>
            <w:r>
              <w:rPr>
                <w:rFonts w:hint="eastAsia" w:ascii="宋体" w:hAnsi="宋体" w:eastAsia="宋体"/>
                <w:szCs w:val="21"/>
              </w:rPr>
              <w:t>2/7</w:t>
            </w:r>
          </w:p>
        </w:tc>
        <w:tc>
          <w:tcPr>
            <w:tcW w:w="1145" w:type="dxa"/>
            <w:vAlign w:val="center"/>
          </w:tcPr>
          <w:p w14:paraId="6C2C86CC">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5" w:type="dxa"/>
            <w:vAlign w:val="center"/>
          </w:tcPr>
          <w:p w14:paraId="033C2857">
            <w:pPr>
              <w:widowControl/>
              <w:spacing w:before="156" w:beforeLines="50" w:after="156" w:afterLines="50"/>
              <w:jc w:val="center"/>
              <w:rPr>
                <w:rFonts w:ascii="宋体" w:hAnsi="宋体" w:eastAsia="宋体"/>
                <w:szCs w:val="21"/>
              </w:rPr>
            </w:pPr>
            <w:r>
              <w:rPr>
                <w:rFonts w:hint="eastAsia" w:ascii="宋体" w:hAnsi="宋体" w:eastAsia="宋体"/>
                <w:szCs w:val="21"/>
              </w:rPr>
              <w:t>客观主义生命意义理论</w:t>
            </w:r>
          </w:p>
        </w:tc>
        <w:tc>
          <w:tcPr>
            <w:tcW w:w="1145" w:type="dxa"/>
            <w:vAlign w:val="center"/>
          </w:tcPr>
          <w:p w14:paraId="35E43832">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0F4C9E8D">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14:paraId="7D808FEF">
            <w:pPr>
              <w:widowControl/>
              <w:spacing w:before="156" w:beforeLines="50" w:after="156" w:afterLines="50"/>
              <w:jc w:val="center"/>
              <w:rPr>
                <w:rFonts w:ascii="宋体" w:hAnsi="宋体" w:eastAsia="宋体"/>
                <w:szCs w:val="21"/>
              </w:rPr>
            </w:pPr>
            <w:r>
              <w:rPr>
                <w:rFonts w:hint="eastAsia" w:ascii="宋体" w:hAnsi="宋体" w:eastAsia="宋体"/>
                <w:szCs w:val="21"/>
              </w:rPr>
              <w:t>2/14</w:t>
            </w:r>
          </w:p>
        </w:tc>
        <w:tc>
          <w:tcPr>
            <w:tcW w:w="1145" w:type="dxa"/>
            <w:vAlign w:val="center"/>
          </w:tcPr>
          <w:p w14:paraId="481EC2C1">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5" w:type="dxa"/>
            <w:vAlign w:val="center"/>
          </w:tcPr>
          <w:p w14:paraId="5F223490">
            <w:pPr>
              <w:widowControl/>
              <w:spacing w:before="156" w:beforeLines="50" w:after="156" w:afterLines="50"/>
              <w:jc w:val="center"/>
              <w:rPr>
                <w:rFonts w:ascii="宋体" w:hAnsi="宋体" w:eastAsia="宋体"/>
                <w:szCs w:val="21"/>
              </w:rPr>
            </w:pPr>
            <w:r>
              <w:rPr>
                <w:rFonts w:hint="eastAsia" w:ascii="宋体" w:hAnsi="宋体" w:eastAsia="宋体"/>
                <w:szCs w:val="21"/>
              </w:rPr>
              <w:t>主客观结合的生命意义理论</w:t>
            </w:r>
          </w:p>
        </w:tc>
        <w:tc>
          <w:tcPr>
            <w:tcW w:w="1145" w:type="dxa"/>
            <w:vAlign w:val="center"/>
          </w:tcPr>
          <w:p w14:paraId="3E4758F8">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14:paraId="522D0812">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ascii="宋体" w:hAnsi="宋体" w:eastAsia="宋体"/>
                <w:szCs w:val="21"/>
              </w:rPr>
            </w:pPr>
            <w:r>
              <w:rPr>
                <w:rFonts w:hint="eastAsia" w:ascii="宋体" w:hAnsi="宋体" w:eastAsia="宋体"/>
                <w:szCs w:val="21"/>
              </w:rPr>
              <w:t>4</w:t>
            </w:r>
            <w:r>
              <w:rPr>
                <w:rFonts w:ascii="宋体" w:hAnsi="宋体" w:eastAsia="宋体"/>
                <w:szCs w:val="21"/>
              </w:rPr>
              <w:t>-7</w:t>
            </w:r>
          </w:p>
        </w:tc>
        <w:tc>
          <w:tcPr>
            <w:tcW w:w="929" w:type="dxa"/>
            <w:vAlign w:val="center"/>
          </w:tcPr>
          <w:p w14:paraId="5F936FBF">
            <w:pPr>
              <w:widowControl/>
              <w:spacing w:before="156" w:beforeLines="50" w:after="156" w:afterLines="50"/>
              <w:jc w:val="center"/>
              <w:rPr>
                <w:rFonts w:ascii="宋体" w:hAnsi="宋体" w:eastAsia="宋体"/>
                <w:szCs w:val="21"/>
              </w:rPr>
            </w:pPr>
            <w:r>
              <w:rPr>
                <w:rFonts w:hint="eastAsia" w:ascii="宋体" w:hAnsi="宋体" w:eastAsia="宋体"/>
                <w:szCs w:val="21"/>
              </w:rPr>
              <w:t>2/28</w:t>
            </w:r>
          </w:p>
        </w:tc>
        <w:tc>
          <w:tcPr>
            <w:tcW w:w="1145" w:type="dxa"/>
            <w:vAlign w:val="center"/>
          </w:tcPr>
          <w:p w14:paraId="3632CBDA">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5" w:type="dxa"/>
            <w:vAlign w:val="center"/>
          </w:tcPr>
          <w:p w14:paraId="55C33F63">
            <w:pPr>
              <w:widowControl/>
              <w:spacing w:before="156" w:beforeLines="50" w:after="156" w:afterLines="50"/>
              <w:jc w:val="center"/>
              <w:rPr>
                <w:rFonts w:ascii="宋体" w:hAnsi="宋体" w:eastAsia="宋体"/>
                <w:szCs w:val="21"/>
              </w:rPr>
            </w:pPr>
            <w:r>
              <w:rPr>
                <w:rFonts w:hint="eastAsia" w:ascii="宋体" w:hAnsi="宋体" w:eastAsia="宋体"/>
                <w:szCs w:val="21"/>
              </w:rPr>
              <w:t>自我</w:t>
            </w:r>
          </w:p>
        </w:tc>
        <w:tc>
          <w:tcPr>
            <w:tcW w:w="1145" w:type="dxa"/>
            <w:vAlign w:val="center"/>
          </w:tcPr>
          <w:p w14:paraId="3E63A6F6">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1386" w:type="dxa"/>
            <w:vAlign w:val="center"/>
          </w:tcPr>
          <w:p w14:paraId="1008F7B9">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ascii="宋体" w:hAnsi="宋体" w:eastAsia="宋体"/>
                <w:szCs w:val="21"/>
              </w:rPr>
            </w:pP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r>
              <w:rPr>
                <w:rFonts w:hint="eastAsia" w:ascii="宋体" w:hAnsi="宋体" w:eastAsia="宋体"/>
                <w:szCs w:val="21"/>
              </w:rPr>
              <w:t>第四章</w:t>
            </w:r>
          </w:p>
        </w:tc>
        <w:tc>
          <w:tcPr>
            <w:tcW w:w="1145" w:type="dxa"/>
            <w:vAlign w:val="center"/>
          </w:tcPr>
          <w:p w14:paraId="76E17E9E">
            <w:pPr>
              <w:widowControl/>
              <w:spacing w:before="156" w:beforeLines="50" w:after="156" w:afterLines="50"/>
              <w:jc w:val="center"/>
              <w:rPr>
                <w:rFonts w:ascii="宋体" w:hAnsi="宋体" w:eastAsia="宋体"/>
                <w:szCs w:val="21"/>
              </w:rPr>
            </w:pPr>
            <w:r>
              <w:rPr>
                <w:rFonts w:hint="eastAsia" w:ascii="宋体" w:hAnsi="宋体" w:eastAsia="宋体"/>
                <w:szCs w:val="21"/>
              </w:rPr>
              <w:t>自我超越</w:t>
            </w:r>
          </w:p>
        </w:tc>
        <w:tc>
          <w:tcPr>
            <w:tcW w:w="1145" w:type="dxa"/>
            <w:vAlign w:val="center"/>
          </w:tcPr>
          <w:p w14:paraId="43C35FAB">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1386" w:type="dxa"/>
            <w:vAlign w:val="center"/>
          </w:tcPr>
          <w:p w14:paraId="393A0F18">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ascii="宋体" w:hAnsi="宋体" w:eastAsia="宋体"/>
                <w:szCs w:val="21"/>
              </w:rPr>
            </w:pP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ascii="宋体" w:hAnsi="宋体" w:eastAsia="宋体"/>
                <w:szCs w:val="21"/>
              </w:rPr>
            </w:pPr>
            <w:r>
              <w:rPr>
                <w:rFonts w:hint="eastAsia" w:ascii="宋体" w:hAnsi="宋体" w:eastAsia="宋体"/>
                <w:szCs w:val="21"/>
              </w:rPr>
              <w:t>第五章</w:t>
            </w:r>
          </w:p>
        </w:tc>
        <w:tc>
          <w:tcPr>
            <w:tcW w:w="1145" w:type="dxa"/>
            <w:vAlign w:val="center"/>
          </w:tcPr>
          <w:p w14:paraId="2D7041A6">
            <w:pPr>
              <w:widowControl/>
              <w:spacing w:before="156" w:beforeLines="50" w:after="156" w:afterLines="50"/>
              <w:jc w:val="center"/>
              <w:rPr>
                <w:rFonts w:ascii="宋体" w:hAnsi="宋体" w:eastAsia="宋体"/>
                <w:szCs w:val="21"/>
              </w:rPr>
            </w:pPr>
            <w:r>
              <w:rPr>
                <w:rFonts w:hint="eastAsia" w:ascii="宋体" w:hAnsi="宋体" w:eastAsia="宋体"/>
                <w:szCs w:val="21"/>
              </w:rPr>
              <w:t>价值</w:t>
            </w:r>
          </w:p>
        </w:tc>
        <w:tc>
          <w:tcPr>
            <w:tcW w:w="1145" w:type="dxa"/>
            <w:vAlign w:val="center"/>
          </w:tcPr>
          <w:p w14:paraId="46934EFA">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1386" w:type="dxa"/>
            <w:vAlign w:val="center"/>
          </w:tcPr>
          <w:p w14:paraId="1C49A636">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352A3B0">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p w14:paraId="345E519B">
            <w:pPr>
              <w:widowControl/>
              <w:spacing w:before="156" w:beforeLines="50" w:after="156" w:afterLines="50"/>
              <w:jc w:val="center"/>
              <w:rPr>
                <w:rFonts w:ascii="宋体" w:hAnsi="宋体" w:eastAsia="宋体"/>
                <w:szCs w:val="21"/>
              </w:rPr>
            </w:pPr>
          </w:p>
        </w:tc>
        <w:tc>
          <w:tcPr>
            <w:tcW w:w="929" w:type="dxa"/>
            <w:vAlign w:val="center"/>
          </w:tcPr>
          <w:p w14:paraId="216D89C4">
            <w:pPr>
              <w:widowControl/>
              <w:spacing w:before="156" w:beforeLines="50" w:after="156" w:afterLines="50"/>
              <w:jc w:val="center"/>
              <w:rPr>
                <w:rFonts w:ascii="宋体" w:hAnsi="宋体" w:eastAsia="宋体"/>
                <w:szCs w:val="21"/>
              </w:rPr>
            </w:pPr>
            <w:r>
              <w:rPr>
                <w:rFonts w:hint="eastAsia" w:ascii="宋体" w:hAnsi="宋体" w:eastAsia="宋体"/>
                <w:szCs w:val="21"/>
              </w:rPr>
              <w:t>6/15</w:t>
            </w:r>
          </w:p>
        </w:tc>
        <w:tc>
          <w:tcPr>
            <w:tcW w:w="1145" w:type="dxa"/>
            <w:vAlign w:val="center"/>
          </w:tcPr>
          <w:p w14:paraId="024AF19C">
            <w:pPr>
              <w:widowControl/>
              <w:spacing w:before="156" w:beforeLines="50" w:after="156" w:afterLines="50"/>
              <w:jc w:val="center"/>
              <w:rPr>
                <w:rFonts w:ascii="宋体" w:hAnsi="宋体" w:eastAsia="宋体"/>
                <w:szCs w:val="21"/>
              </w:rPr>
            </w:pPr>
            <w:r>
              <w:rPr>
                <w:rFonts w:hint="eastAsia" w:ascii="宋体" w:hAnsi="宋体" w:eastAsia="宋体"/>
                <w:szCs w:val="21"/>
              </w:rPr>
              <w:t>第六章</w:t>
            </w:r>
          </w:p>
        </w:tc>
        <w:tc>
          <w:tcPr>
            <w:tcW w:w="1145" w:type="dxa"/>
            <w:vAlign w:val="center"/>
          </w:tcPr>
          <w:p w14:paraId="10239324">
            <w:pPr>
              <w:widowControl/>
              <w:spacing w:before="156" w:beforeLines="50" w:after="156" w:afterLines="50"/>
              <w:jc w:val="center"/>
              <w:rPr>
                <w:rFonts w:ascii="宋体" w:hAnsi="宋体" w:eastAsia="宋体"/>
                <w:szCs w:val="21"/>
              </w:rPr>
            </w:pPr>
            <w:r>
              <w:rPr>
                <w:rFonts w:hint="eastAsia" w:ascii="宋体" w:hAnsi="宋体" w:eastAsia="宋体"/>
                <w:szCs w:val="21"/>
              </w:rPr>
              <w:t>价值的演变</w:t>
            </w:r>
          </w:p>
        </w:tc>
        <w:tc>
          <w:tcPr>
            <w:tcW w:w="1145" w:type="dxa"/>
            <w:vAlign w:val="center"/>
          </w:tcPr>
          <w:p w14:paraId="3FD078AA">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1386" w:type="dxa"/>
            <w:vAlign w:val="center"/>
          </w:tcPr>
          <w:p w14:paraId="3BB1DF29">
            <w:pPr>
              <w:widowControl/>
              <w:spacing w:before="156" w:beforeLines="50" w:after="156" w:afterLines="50"/>
              <w:jc w:val="center"/>
              <w:rPr>
                <w:rFonts w:ascii="宋体" w:hAnsi="宋体" w:eastAsia="宋体"/>
                <w:szCs w:val="21"/>
              </w:rPr>
            </w:pPr>
            <w:r>
              <w:rPr>
                <w:rFonts w:hint="eastAsia" w:ascii="宋体" w:hAnsi="宋体" w:eastAsia="宋体"/>
                <w:szCs w:val="21"/>
              </w:rPr>
              <w:t>阅读笔记</w:t>
            </w:r>
          </w:p>
        </w:tc>
        <w:tc>
          <w:tcPr>
            <w:tcW w:w="904" w:type="dxa"/>
            <w:vAlign w:val="center"/>
          </w:tcPr>
          <w:p w14:paraId="31CAF3B9">
            <w:pPr>
              <w:widowControl/>
              <w:spacing w:before="156" w:beforeLines="50" w:after="156" w:afterLines="50"/>
              <w:jc w:val="center"/>
              <w:rPr>
                <w:rFonts w:ascii="宋体" w:hAnsi="宋体" w:eastAsia="宋体"/>
                <w:szCs w:val="21"/>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26F70B0F">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Susan Wolf 2010, </w:t>
      </w:r>
      <w:r>
        <w:rPr>
          <w:rFonts w:ascii="Times New Roman" w:hAnsi="Times New Roman" w:eastAsia="宋体" w:cs="Times New Roman"/>
          <w:i/>
          <w:iCs/>
        </w:rPr>
        <w:t>Meaning in Life and Why It Matters</w:t>
      </w:r>
      <w:r>
        <w:rPr>
          <w:rFonts w:ascii="Times New Roman" w:hAnsi="Times New Roman" w:eastAsia="宋体" w:cs="Times New Roman"/>
        </w:rPr>
        <w:t>, Princeton University Press.</w:t>
      </w:r>
    </w:p>
    <w:p w14:paraId="6E6FF884">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Robert C. Solomon 2002, </w:t>
      </w:r>
      <w:r>
        <w:rPr>
          <w:rFonts w:ascii="Times New Roman" w:hAnsi="Times New Roman" w:eastAsia="宋体" w:cs="Times New Roman"/>
          <w:i/>
          <w:iCs/>
        </w:rPr>
        <w:t>Spirituality for the Skeptic</w:t>
      </w:r>
      <w:r>
        <w:rPr>
          <w:rFonts w:ascii="Times New Roman" w:hAnsi="Times New Roman" w:eastAsia="宋体" w:cs="Times New Roman"/>
        </w:rPr>
        <w:t xml:space="preserve">, Oxford University Press, 2002. </w:t>
      </w:r>
    </w:p>
    <w:p w14:paraId="589DD763">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David McPherson 2017, Ed. </w:t>
      </w:r>
      <w:r>
        <w:rPr>
          <w:rFonts w:ascii="Times New Roman" w:hAnsi="Times New Roman" w:eastAsia="宋体" w:cs="Times New Roman"/>
          <w:i/>
          <w:iCs/>
        </w:rPr>
        <w:t>Spirituality and the Good Life</w:t>
      </w:r>
      <w:r>
        <w:rPr>
          <w:rFonts w:ascii="Times New Roman" w:hAnsi="Times New Roman" w:eastAsia="宋体" w:cs="Times New Roman"/>
        </w:rPr>
        <w:t xml:space="preserve">, Cambridge University Press,, 2017. </w:t>
      </w:r>
    </w:p>
    <w:p w14:paraId="3A5CDF7C">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 xml:space="preserve">Thaddeus Metz 2013, </w:t>
      </w:r>
      <w:r>
        <w:rPr>
          <w:rFonts w:ascii="Times New Roman" w:hAnsi="Times New Roman" w:eastAsia="宋体" w:cs="Times New Roman"/>
          <w:i/>
          <w:iCs/>
        </w:rPr>
        <w:t>Meaning in Life: An Analytic Study</w:t>
      </w:r>
      <w:r>
        <w:rPr>
          <w:rFonts w:ascii="Times New Roman" w:hAnsi="Times New Roman" w:eastAsia="宋体" w:cs="Times New Roman"/>
        </w:rPr>
        <w:t xml:space="preserve">, Oxford University Press. </w:t>
      </w:r>
    </w:p>
    <w:p w14:paraId="17F66ED1">
      <w:pPr>
        <w:pStyle w:val="13"/>
        <w:numPr>
          <w:ilvl w:val="0"/>
          <w:numId w:val="1"/>
        </w:numPr>
        <w:ind w:firstLineChars="0"/>
        <w:rPr>
          <w:rFonts w:ascii="Times New Roman" w:hAnsi="Times New Roman" w:eastAsia="宋体" w:cs="Times New Roman"/>
        </w:rPr>
      </w:pPr>
      <w:r>
        <w:rPr>
          <w:rFonts w:ascii="Times New Roman" w:hAnsi="Times New Roman" w:eastAsia="宋体" w:cs="Times New Roman"/>
        </w:rPr>
        <w:t>Helena de Bres,</w:t>
      </w:r>
      <w:r>
        <w:rPr>
          <w:rFonts w:ascii="Times New Roman" w:hAnsi="Times New Roman" w:eastAsia="宋体" w:cs="Times New Roman"/>
          <w:i/>
          <w:iCs/>
        </w:rPr>
        <w:t xml:space="preserve"> Narrative and Meaning in Life</w:t>
      </w:r>
      <w:r>
        <w:rPr>
          <w:rFonts w:ascii="Times New Roman" w:hAnsi="Times New Roman" w:eastAsia="宋体" w:cs="Times New Roman"/>
        </w:rPr>
        <w:t xml:space="preserve">, Journal of Moral Philosophy, pp. 1-17. </w:t>
      </w:r>
    </w:p>
    <w:p w14:paraId="64060870">
      <w:pPr>
        <w:pStyle w:val="13"/>
        <w:numPr>
          <w:ilvl w:val="0"/>
          <w:numId w:val="1"/>
        </w:numPr>
        <w:ind w:firstLineChars="0"/>
        <w:rPr>
          <w:rFonts w:ascii="宋体" w:hAnsi="宋体" w:eastAsia="宋体" w:cs="Times New Roman"/>
        </w:rPr>
      </w:pPr>
      <w:r>
        <w:rPr>
          <w:rFonts w:ascii="宋体" w:hAnsi="宋体" w:eastAsia="宋体" w:cs="Times New Roman"/>
        </w:rPr>
        <w:t>《论语》与《孟子》，译注，中华书局，2014，2015年版。</w:t>
      </w:r>
    </w:p>
    <w:p w14:paraId="567E9996">
      <w:pPr>
        <w:pStyle w:val="13"/>
        <w:numPr>
          <w:ilvl w:val="0"/>
          <w:numId w:val="1"/>
        </w:numPr>
        <w:ind w:firstLineChars="0"/>
        <w:rPr>
          <w:rFonts w:ascii="宋体" w:hAnsi="宋体" w:eastAsia="宋体" w:cs="Times New Roman"/>
        </w:rPr>
      </w:pPr>
      <w:r>
        <w:rPr>
          <w:rFonts w:ascii="宋体" w:hAnsi="宋体" w:eastAsia="宋体" w:cs="Times New Roman"/>
        </w:rPr>
        <w:t>斯宾诺莎：《伦理学》，贺麟译，商务印书馆，1983年版。</w:t>
      </w:r>
    </w:p>
    <w:p w14:paraId="51D6F4B8">
      <w:pPr>
        <w:pStyle w:val="13"/>
        <w:numPr>
          <w:ilvl w:val="0"/>
          <w:numId w:val="1"/>
        </w:numPr>
        <w:ind w:firstLineChars="0"/>
        <w:rPr>
          <w:rFonts w:ascii="宋体" w:hAnsi="宋体" w:eastAsia="宋体" w:cs="Times New Roman"/>
        </w:rPr>
      </w:pPr>
      <w:r>
        <w:rPr>
          <w:rFonts w:ascii="宋体" w:hAnsi="宋体" w:eastAsia="宋体" w:cs="Times New Roman"/>
        </w:rPr>
        <w:t>《庄子今注今译》，陈鼓应著作集，全两册，中华书局，2020年6月。</w:t>
      </w:r>
    </w:p>
    <w:p w14:paraId="3E771FE5">
      <w:pPr>
        <w:pStyle w:val="13"/>
        <w:numPr>
          <w:ilvl w:val="0"/>
          <w:numId w:val="1"/>
        </w:numPr>
        <w:ind w:firstLineChars="0"/>
        <w:rPr>
          <w:rFonts w:ascii="宋体" w:hAnsi="宋体" w:eastAsia="宋体" w:cs="Times New Roman"/>
        </w:rPr>
      </w:pPr>
      <w:r>
        <w:rPr>
          <w:rFonts w:ascii="宋体" w:hAnsi="宋体" w:eastAsia="宋体" w:cs="Times New Roman"/>
        </w:rPr>
        <w:t>梭罗：《瓦尔登湖》</w:t>
      </w:r>
    </w:p>
    <w:p w14:paraId="7B0F60FD">
      <w:pPr>
        <w:pStyle w:val="13"/>
        <w:numPr>
          <w:ilvl w:val="0"/>
          <w:numId w:val="1"/>
        </w:numPr>
        <w:ind w:firstLineChars="0"/>
        <w:rPr>
          <w:rFonts w:ascii="宋体" w:hAnsi="宋体" w:eastAsia="宋体" w:cs="Times New Roman"/>
        </w:rPr>
      </w:pPr>
      <w:r>
        <w:rPr>
          <w:rFonts w:ascii="宋体" w:hAnsi="宋体" w:eastAsia="宋体" w:cs="Times New Roman"/>
        </w:rPr>
        <w:t>利奥波德：《沙乡年鉴》</w:t>
      </w:r>
    </w:p>
    <w:p w14:paraId="489296B9">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11CB7093">
      <w:pPr>
        <w:widowControl/>
        <w:spacing w:before="156" w:beforeLines="50" w:after="156" w:afterLines="50"/>
        <w:ind w:firstLine="420" w:firstLineChars="200"/>
        <w:jc w:val="left"/>
        <w:rPr>
          <w:rFonts w:ascii="宋体" w:hAnsi="宋体" w:eastAsia="宋体"/>
        </w:rPr>
      </w:pPr>
      <w:r>
        <w:rPr>
          <w:rFonts w:hint="eastAsia" w:ascii="宋体" w:hAnsi="宋体" w:eastAsia="宋体"/>
        </w:rPr>
        <w:t>1．讲授法 主要讲授生命意义理论主要流派和核心哲学范畴</w:t>
      </w:r>
    </w:p>
    <w:p w14:paraId="44AA70CC">
      <w:pPr>
        <w:widowControl/>
        <w:spacing w:before="156" w:beforeLines="50" w:after="156" w:afterLines="50"/>
        <w:ind w:firstLine="420" w:firstLineChars="200"/>
        <w:jc w:val="left"/>
        <w:rPr>
          <w:rFonts w:ascii="宋体" w:hAnsi="宋体" w:eastAsia="宋体"/>
        </w:rPr>
      </w:pPr>
      <w:r>
        <w:rPr>
          <w:rFonts w:hint="eastAsia" w:ascii="宋体" w:hAnsi="宋体" w:eastAsia="宋体"/>
        </w:rPr>
        <w:t>2．小组讨论法 对生命意义的核心哲学范畴进行批判性反思</w:t>
      </w:r>
    </w:p>
    <w:p w14:paraId="1A116591">
      <w:pPr>
        <w:widowControl/>
        <w:spacing w:before="156" w:beforeLines="50" w:after="156" w:afterLines="50"/>
        <w:ind w:firstLine="420" w:firstLineChars="200"/>
        <w:jc w:val="left"/>
        <w:rPr>
          <w:rFonts w:ascii="宋体" w:hAnsi="宋体" w:eastAsia="宋体"/>
        </w:rPr>
      </w:pPr>
      <w:r>
        <w:rPr>
          <w:rFonts w:hint="eastAsia" w:ascii="宋体" w:hAnsi="宋体" w:eastAsia="宋体"/>
        </w:rPr>
        <w:t>3. 案例教学法 根据当代生活不同文化的人类的不同选择来加强对生命意义理论的理解</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Ansi="宋体"/>
                <w:b/>
              </w:rPr>
            </w:pPr>
            <w:r>
              <w:rPr>
                <w:rFonts w:hint="eastAsia" w:hAnsi="宋体"/>
                <w:b/>
              </w:rPr>
              <w:t>客观主义生命意义理论以及主客观结合的生命意义理论</w:t>
            </w:r>
          </w:p>
        </w:tc>
        <w:tc>
          <w:tcPr>
            <w:tcW w:w="2849" w:type="dxa"/>
            <w:vAlign w:val="center"/>
          </w:tcPr>
          <w:p w14:paraId="4039B16C">
            <w:pPr>
              <w:pStyle w:val="2"/>
              <w:spacing w:before="156" w:beforeLines="50" w:after="156" w:afterLines="50"/>
              <w:jc w:val="center"/>
              <w:rPr>
                <w:rFonts w:hAnsi="宋体"/>
                <w:b/>
              </w:rPr>
            </w:pPr>
            <w:r>
              <w:rPr>
                <w:rFonts w:hint="eastAsia" w:hAnsi="宋体"/>
                <w:b/>
              </w:rPr>
              <w:t>笔试</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Ansi="宋体"/>
                <w:b/>
              </w:rPr>
            </w:pPr>
            <w:r>
              <w:rPr>
                <w:rFonts w:hint="eastAsia" w:hAnsi="宋体"/>
                <w:b/>
              </w:rPr>
              <w:t>自我的范畴理解：中西哲学比较</w:t>
            </w:r>
          </w:p>
        </w:tc>
        <w:tc>
          <w:tcPr>
            <w:tcW w:w="2849" w:type="dxa"/>
            <w:vAlign w:val="center"/>
          </w:tcPr>
          <w:p w14:paraId="1BEFB7FE">
            <w:pPr>
              <w:pStyle w:val="2"/>
              <w:spacing w:before="156" w:beforeLines="50" w:after="156" w:afterLines="50"/>
              <w:rPr>
                <w:rFonts w:hAnsi="宋体"/>
                <w:b/>
              </w:rPr>
            </w:pPr>
            <w:r>
              <w:rPr>
                <w:rFonts w:hint="eastAsia" w:hAnsi="宋体"/>
                <w:b/>
              </w:rPr>
              <w:t xml:space="preserve">           笔试</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Ansi="宋体"/>
                <w:b/>
              </w:rPr>
            </w:pPr>
            <w:r>
              <w:rPr>
                <w:rFonts w:hint="eastAsia" w:hAnsi="宋体"/>
                <w:b/>
              </w:rPr>
              <w:t>价值的范畴</w:t>
            </w:r>
          </w:p>
        </w:tc>
        <w:tc>
          <w:tcPr>
            <w:tcW w:w="2849" w:type="dxa"/>
            <w:vAlign w:val="center"/>
          </w:tcPr>
          <w:p w14:paraId="2DDAD844">
            <w:pPr>
              <w:pStyle w:val="2"/>
              <w:spacing w:before="156" w:beforeLines="50" w:after="156" w:afterLines="50"/>
              <w:jc w:val="center"/>
              <w:rPr>
                <w:rFonts w:hAnsi="宋体"/>
                <w:b/>
              </w:rPr>
            </w:pPr>
            <w:r>
              <w:rPr>
                <w:rFonts w:hint="eastAsia" w:hAnsi="宋体"/>
                <w:b/>
              </w:rPr>
              <w:t>笔试</w:t>
            </w: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7F41D11E">
      <w:pPr>
        <w:widowControl/>
        <w:spacing w:before="156" w:beforeLines="50" w:after="156" w:afterLines="50"/>
        <w:jc w:val="left"/>
        <w:rPr>
          <w:rFonts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ascii="宋体" w:hAnsi="宋体" w:eastAsia="宋体"/>
                <w:kern w:val="0"/>
                <w:szCs w:val="21"/>
              </w:rPr>
            </w:pPr>
            <w:r>
              <w:rPr>
                <w:rFonts w:hint="eastAsia" w:ascii="宋体" w:hAnsi="宋体" w:eastAsia="宋体"/>
                <w:kern w:val="0"/>
                <w:szCs w:val="21"/>
              </w:rPr>
              <w:t>5%</w:t>
            </w:r>
          </w:p>
        </w:tc>
        <w:tc>
          <w:tcPr>
            <w:tcW w:w="1134" w:type="dxa"/>
            <w:shd w:val="clear" w:color="auto" w:fill="auto"/>
            <w:vAlign w:val="center"/>
          </w:tcPr>
          <w:p w14:paraId="5361B91D">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vAlign w:val="center"/>
          </w:tcPr>
          <w:p w14:paraId="67076DAB">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restart"/>
            <w:shd w:val="clear" w:color="auto" w:fill="auto"/>
            <w:vAlign w:val="center"/>
          </w:tcPr>
          <w:p w14:paraId="230714B0">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ascii="宋体" w:hAnsi="宋体" w:eastAsia="宋体"/>
                <w:kern w:val="0"/>
                <w:szCs w:val="21"/>
              </w:rPr>
            </w:pPr>
            <w:r>
              <w:rPr>
                <w:rFonts w:hint="eastAsia" w:ascii="宋体" w:hAnsi="宋体" w:eastAsia="宋体"/>
                <w:kern w:val="0"/>
                <w:szCs w:val="21"/>
              </w:rPr>
              <w:t>5%</w:t>
            </w:r>
          </w:p>
        </w:tc>
        <w:tc>
          <w:tcPr>
            <w:tcW w:w="1134" w:type="dxa"/>
            <w:shd w:val="clear" w:color="auto" w:fill="auto"/>
            <w:vAlign w:val="center"/>
          </w:tcPr>
          <w:p w14:paraId="13EF1D19">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vAlign w:val="center"/>
          </w:tcPr>
          <w:p w14:paraId="573C0D77">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ascii="宋体" w:hAnsi="宋体" w:eastAsia="宋体"/>
                <w:kern w:val="0"/>
                <w:szCs w:val="21"/>
              </w:rPr>
            </w:pPr>
            <w:r>
              <w:rPr>
                <w:rFonts w:hint="eastAsia" w:ascii="宋体" w:hAnsi="宋体" w:eastAsia="宋体"/>
                <w:kern w:val="0"/>
                <w:szCs w:val="21"/>
              </w:rPr>
              <w:t>5%</w:t>
            </w:r>
          </w:p>
        </w:tc>
        <w:tc>
          <w:tcPr>
            <w:tcW w:w="1134" w:type="dxa"/>
            <w:shd w:val="clear" w:color="auto" w:fill="auto"/>
            <w:vAlign w:val="center"/>
          </w:tcPr>
          <w:p w14:paraId="49629E46">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vAlign w:val="center"/>
          </w:tcPr>
          <w:p w14:paraId="675EB7F2">
            <w:pPr>
              <w:spacing w:before="156" w:beforeLines="50" w:after="156" w:afterLines="50"/>
              <w:jc w:val="center"/>
              <w:rPr>
                <w:rFonts w:ascii="宋体" w:hAnsi="宋体" w:eastAsia="宋体"/>
                <w:kern w:val="0"/>
                <w:szCs w:val="21"/>
              </w:rPr>
            </w:pPr>
            <w:r>
              <w:rPr>
                <w:rFonts w:hint="eastAsia" w:ascii="宋体" w:hAnsi="宋体" w:eastAsia="宋体"/>
                <w:kern w:val="0"/>
                <w:szCs w:val="21"/>
              </w:rPr>
              <w:t>15%</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6"/>
        <w:tblW w:w="10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2006"/>
        <w:gridCol w:w="2006"/>
        <w:gridCol w:w="1863"/>
        <w:gridCol w:w="1798"/>
        <w:gridCol w:w="1798"/>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61864751">
            <w:pPr>
              <w:spacing w:before="156" w:beforeLines="50" w:after="156" w:afterLines="50"/>
              <w:rPr>
                <w:rFonts w:ascii="宋体" w:hAnsi="宋体" w:eastAsia="宋体"/>
                <w:szCs w:val="21"/>
              </w:rPr>
            </w:pPr>
            <w:r>
              <w:rPr>
                <w:rFonts w:hint="eastAsia" w:ascii="宋体" w:hAnsi="宋体" w:eastAsia="宋体"/>
                <w:szCs w:val="21"/>
              </w:rPr>
              <w:t xml:space="preserve">     30-35</w:t>
            </w:r>
          </w:p>
          <w:p w14:paraId="40C09495">
            <w:pPr>
              <w:spacing w:before="156" w:beforeLines="50" w:after="156" w:afterLines="50"/>
              <w:rPr>
                <w:rFonts w:ascii="宋体" w:hAnsi="宋体" w:eastAsia="宋体"/>
                <w:szCs w:val="21"/>
              </w:rPr>
            </w:pPr>
            <w:r>
              <w:rPr>
                <w:rFonts w:hint="eastAsia" w:ascii="宋体" w:hAnsi="宋体" w:eastAsia="宋体"/>
                <w:szCs w:val="21"/>
              </w:rPr>
              <w:t xml:space="preserve">       优</w:t>
            </w:r>
          </w:p>
          <w:p w14:paraId="571E0937">
            <w:pPr>
              <w:spacing w:before="156" w:beforeLines="50" w:after="156" w:afterLines="50"/>
              <w:rPr>
                <w:rFonts w:ascii="宋体" w:hAnsi="宋体" w:eastAsia="宋体"/>
                <w:szCs w:val="21"/>
              </w:rPr>
            </w:pPr>
            <w:r>
              <w:rPr>
                <w:rFonts w:hint="eastAsia" w:ascii="宋体" w:hAnsi="宋体" w:eastAsia="宋体"/>
                <w:szCs w:val="21"/>
              </w:rPr>
              <w:t xml:space="preserve">       A</w:t>
            </w:r>
          </w:p>
        </w:tc>
        <w:tc>
          <w:tcPr>
            <w:tcW w:w="1984" w:type="dxa"/>
            <w:tcBorders>
              <w:top w:val="single" w:color="auto" w:sz="4" w:space="0"/>
              <w:left w:val="single" w:color="auto" w:sz="4" w:space="0"/>
              <w:bottom w:val="single" w:color="auto" w:sz="4" w:space="0"/>
              <w:right w:val="single" w:color="auto" w:sz="4" w:space="0"/>
            </w:tcBorders>
          </w:tcPr>
          <w:p w14:paraId="39F1B99C">
            <w:pPr>
              <w:spacing w:before="156" w:beforeLines="50" w:after="156" w:afterLines="50"/>
              <w:ind w:firstLine="630" w:firstLineChars="300"/>
              <w:rPr>
                <w:rFonts w:ascii="宋体" w:hAnsi="宋体" w:eastAsia="宋体"/>
                <w:szCs w:val="21"/>
              </w:rPr>
            </w:pPr>
            <w:r>
              <w:rPr>
                <w:rFonts w:hint="eastAsia" w:ascii="宋体" w:hAnsi="宋体" w:eastAsia="宋体"/>
                <w:szCs w:val="21"/>
              </w:rPr>
              <w:t>20-30</w:t>
            </w:r>
          </w:p>
          <w:p w14:paraId="096A718A">
            <w:pPr>
              <w:spacing w:before="156" w:beforeLines="50" w:after="156" w:afterLines="50"/>
              <w:rPr>
                <w:rFonts w:ascii="宋体" w:hAnsi="宋体" w:eastAsia="宋体"/>
                <w:szCs w:val="21"/>
              </w:rPr>
            </w:pPr>
            <w:r>
              <w:rPr>
                <w:rFonts w:hint="eastAsia" w:ascii="宋体" w:hAnsi="宋体" w:eastAsia="宋体"/>
                <w:szCs w:val="21"/>
              </w:rPr>
              <w:t xml:space="preserve">      良</w:t>
            </w:r>
          </w:p>
          <w:p w14:paraId="3654692F">
            <w:pPr>
              <w:spacing w:before="156" w:beforeLines="50" w:after="156" w:afterLines="50"/>
              <w:rPr>
                <w:rFonts w:ascii="宋体" w:hAnsi="宋体" w:eastAsia="宋体"/>
                <w:szCs w:val="21"/>
              </w:rPr>
            </w:pPr>
            <w:r>
              <w:rPr>
                <w:rFonts w:hint="eastAsia" w:ascii="宋体" w:hAnsi="宋体" w:eastAsia="宋体"/>
                <w:szCs w:val="21"/>
              </w:rPr>
              <w:t xml:space="preserve">      B</w:t>
            </w:r>
          </w:p>
        </w:tc>
        <w:tc>
          <w:tcPr>
            <w:tcW w:w="1843" w:type="dxa"/>
            <w:tcBorders>
              <w:top w:val="single" w:color="auto" w:sz="4" w:space="0"/>
              <w:left w:val="single" w:color="auto" w:sz="4" w:space="0"/>
              <w:bottom w:val="single" w:color="auto" w:sz="4" w:space="0"/>
              <w:right w:val="single" w:color="auto" w:sz="4" w:space="0"/>
            </w:tcBorders>
          </w:tcPr>
          <w:p w14:paraId="06E06B14">
            <w:pPr>
              <w:spacing w:before="156" w:beforeLines="50" w:after="156" w:afterLines="50"/>
              <w:rPr>
                <w:rFonts w:ascii="宋体" w:hAnsi="宋体" w:eastAsia="宋体"/>
                <w:szCs w:val="21"/>
              </w:rPr>
            </w:pPr>
            <w:r>
              <w:rPr>
                <w:rFonts w:hint="eastAsia" w:ascii="宋体" w:hAnsi="宋体" w:eastAsia="宋体"/>
                <w:szCs w:val="21"/>
              </w:rPr>
              <w:t xml:space="preserve">   10-19</w:t>
            </w:r>
          </w:p>
          <w:p w14:paraId="7E7A4340">
            <w:pPr>
              <w:spacing w:before="156" w:beforeLines="50" w:after="156" w:afterLines="50"/>
              <w:ind w:firstLine="420"/>
              <w:rPr>
                <w:rFonts w:ascii="宋体" w:hAnsi="宋体" w:eastAsia="宋体"/>
                <w:szCs w:val="21"/>
              </w:rPr>
            </w:pPr>
            <w:r>
              <w:rPr>
                <w:rFonts w:hint="eastAsia" w:ascii="宋体" w:hAnsi="宋体" w:eastAsia="宋体"/>
                <w:szCs w:val="21"/>
              </w:rPr>
              <w:t>中</w:t>
            </w:r>
          </w:p>
          <w:p w14:paraId="5F54009F">
            <w:pPr>
              <w:spacing w:before="156" w:beforeLines="50" w:after="156" w:afterLines="50"/>
              <w:ind w:firstLine="420"/>
              <w:rPr>
                <w:rFonts w:ascii="宋体" w:hAnsi="宋体" w:eastAsia="宋体"/>
                <w:szCs w:val="21"/>
              </w:rPr>
            </w:pPr>
            <w:r>
              <w:rPr>
                <w:rFonts w:hint="eastAsia" w:ascii="宋体" w:hAnsi="宋体" w:eastAsia="宋体"/>
                <w:szCs w:val="21"/>
              </w:rPr>
              <w:t>C</w:t>
            </w:r>
          </w:p>
        </w:tc>
        <w:tc>
          <w:tcPr>
            <w:tcW w:w="1779" w:type="dxa"/>
            <w:tcBorders>
              <w:top w:val="single" w:color="auto" w:sz="4" w:space="0"/>
              <w:left w:val="single" w:color="auto" w:sz="4" w:space="0"/>
              <w:bottom w:val="single" w:color="auto" w:sz="4" w:space="0"/>
              <w:right w:val="single" w:color="auto" w:sz="4" w:space="0"/>
            </w:tcBorders>
          </w:tcPr>
          <w:p w14:paraId="5B4D4267">
            <w:pPr>
              <w:spacing w:before="156" w:beforeLines="50" w:after="156" w:afterLines="50"/>
              <w:rPr>
                <w:rFonts w:ascii="宋体" w:hAnsi="宋体" w:eastAsia="宋体"/>
                <w:szCs w:val="21"/>
              </w:rPr>
            </w:pPr>
            <w:r>
              <w:rPr>
                <w:rFonts w:hint="eastAsia" w:ascii="宋体" w:hAnsi="宋体" w:eastAsia="宋体"/>
                <w:szCs w:val="21"/>
              </w:rPr>
              <w:t xml:space="preserve">  8-10</w:t>
            </w:r>
          </w:p>
          <w:p w14:paraId="166BE173">
            <w:pPr>
              <w:spacing w:before="156" w:beforeLines="50" w:after="156" w:afterLines="50"/>
              <w:rPr>
                <w:rFonts w:ascii="宋体" w:hAnsi="宋体" w:eastAsia="宋体"/>
                <w:szCs w:val="21"/>
              </w:rPr>
            </w:pPr>
            <w:r>
              <w:rPr>
                <w:rFonts w:hint="eastAsia" w:ascii="宋体" w:hAnsi="宋体" w:eastAsia="宋体"/>
                <w:szCs w:val="21"/>
              </w:rPr>
              <w:t xml:space="preserve">  合格</w:t>
            </w:r>
          </w:p>
          <w:p w14:paraId="34A8B7B8">
            <w:pPr>
              <w:spacing w:before="156" w:beforeLines="50" w:after="156" w:afterLines="50"/>
              <w:rPr>
                <w:rFonts w:ascii="宋体" w:hAnsi="宋体" w:eastAsia="宋体"/>
                <w:szCs w:val="21"/>
              </w:rPr>
            </w:pPr>
            <w:r>
              <w:rPr>
                <w:rFonts w:hint="eastAsia" w:ascii="宋体" w:hAnsi="宋体" w:eastAsia="宋体"/>
                <w:szCs w:val="21"/>
              </w:rPr>
              <w:t xml:space="preserve">  D</w:t>
            </w:r>
          </w:p>
        </w:tc>
        <w:tc>
          <w:tcPr>
            <w:tcW w:w="1779" w:type="dxa"/>
            <w:tcBorders>
              <w:top w:val="single" w:color="auto" w:sz="4" w:space="0"/>
              <w:left w:val="single" w:color="auto" w:sz="4" w:space="0"/>
              <w:bottom w:val="single" w:color="auto" w:sz="4" w:space="0"/>
              <w:right w:val="single" w:color="auto" w:sz="4" w:space="0"/>
            </w:tcBorders>
          </w:tcPr>
          <w:p w14:paraId="73C4123E">
            <w:pPr>
              <w:spacing w:before="156" w:beforeLines="50" w:after="156" w:afterLines="50"/>
              <w:rPr>
                <w:rFonts w:ascii="宋体" w:hAnsi="宋体" w:eastAsia="宋体"/>
                <w:szCs w:val="21"/>
              </w:rPr>
            </w:pPr>
            <w:r>
              <w:rPr>
                <w:rFonts w:hint="eastAsia" w:ascii="宋体" w:hAnsi="宋体" w:eastAsia="宋体"/>
                <w:szCs w:val="21"/>
              </w:rPr>
              <w:t xml:space="preserve">   1-8</w:t>
            </w:r>
          </w:p>
          <w:p w14:paraId="3218031C">
            <w:pPr>
              <w:spacing w:before="156" w:beforeLines="50" w:after="156" w:afterLines="50"/>
              <w:rPr>
                <w:rFonts w:ascii="宋体" w:hAnsi="宋体" w:eastAsia="宋体"/>
                <w:szCs w:val="21"/>
              </w:rPr>
            </w:pPr>
            <w:r>
              <w:rPr>
                <w:rFonts w:hint="eastAsia" w:ascii="宋体" w:hAnsi="宋体" w:eastAsia="宋体"/>
                <w:szCs w:val="21"/>
              </w:rPr>
              <w:t xml:space="preserve">   不合格</w:t>
            </w:r>
          </w:p>
          <w:p w14:paraId="479CCD28">
            <w:pPr>
              <w:spacing w:before="156" w:beforeLines="50" w:after="156" w:afterLines="50"/>
              <w:rPr>
                <w:rFonts w:ascii="宋体" w:hAnsi="宋体" w:eastAsia="宋体"/>
                <w:szCs w:val="21"/>
              </w:rPr>
            </w:pPr>
            <w:r>
              <w:rPr>
                <w:rFonts w:hint="eastAsia" w:ascii="宋体" w:hAnsi="宋体" w:eastAsia="宋体"/>
                <w:szCs w:val="21"/>
              </w:rPr>
              <w:t xml:space="preserve">   F</w:t>
            </w: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ascii="宋体" w:hAnsi="宋体" w:eastAsia="宋体"/>
                <w:b/>
                <w:bCs/>
                <w:kern w:val="0"/>
                <w:szCs w:val="21"/>
              </w:rPr>
            </w:pPr>
            <w:bookmarkStart w:id="4" w:name="_Hlk176031797"/>
            <w:r>
              <w:rPr>
                <w:rFonts w:hint="eastAsia" w:ascii="宋体" w:hAnsi="宋体" w:eastAsia="宋体"/>
                <w:b/>
                <w:bCs/>
                <w:kern w:val="0"/>
                <w:szCs w:val="21"/>
              </w:rPr>
              <w:t>课程</w:t>
            </w:r>
          </w:p>
          <w:p w14:paraId="6AF4923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612ECD26">
            <w:pPr>
              <w:spacing w:before="156" w:beforeLines="50" w:after="156" w:afterLines="50"/>
              <w:ind w:firstLine="420" w:firstLineChars="200"/>
              <w:rPr>
                <w:rFonts w:ascii="宋体" w:hAnsi="宋体" w:eastAsia="宋体"/>
                <w:szCs w:val="21"/>
              </w:rPr>
            </w:pPr>
            <w:r>
              <w:rPr>
                <w:rFonts w:hint="eastAsia" w:ascii="宋体" w:hAnsi="宋体" w:eastAsia="宋体"/>
                <w:szCs w:val="21"/>
              </w:rPr>
              <w:t>30-35</w:t>
            </w:r>
          </w:p>
          <w:p w14:paraId="5B812683">
            <w:pPr>
              <w:spacing w:before="156" w:beforeLines="50" w:after="156" w:afterLines="50"/>
              <w:rPr>
                <w:rFonts w:ascii="宋体" w:hAnsi="宋体" w:eastAsia="宋体"/>
                <w:szCs w:val="21"/>
              </w:rPr>
            </w:pPr>
            <w:r>
              <w:rPr>
                <w:rFonts w:hint="eastAsia" w:ascii="宋体" w:hAnsi="宋体" w:eastAsia="宋体"/>
                <w:szCs w:val="21"/>
              </w:rPr>
              <w:t xml:space="preserve">       优</w:t>
            </w:r>
          </w:p>
          <w:p w14:paraId="439B0CF2">
            <w:pPr>
              <w:spacing w:before="156" w:beforeLines="50" w:after="156" w:afterLines="50"/>
              <w:rPr>
                <w:rFonts w:ascii="宋体" w:hAnsi="宋体" w:eastAsia="宋体"/>
                <w:szCs w:val="21"/>
              </w:rPr>
            </w:pPr>
            <w:r>
              <w:rPr>
                <w:rFonts w:hint="eastAsia" w:ascii="宋体" w:hAnsi="宋体" w:eastAsia="宋体"/>
                <w:szCs w:val="21"/>
              </w:rPr>
              <w:t xml:space="preserve">       A</w:t>
            </w:r>
          </w:p>
        </w:tc>
        <w:tc>
          <w:tcPr>
            <w:tcW w:w="1984" w:type="dxa"/>
            <w:tcBorders>
              <w:top w:val="single" w:color="auto" w:sz="4" w:space="0"/>
              <w:left w:val="single" w:color="auto" w:sz="4" w:space="0"/>
              <w:bottom w:val="single" w:color="auto" w:sz="4" w:space="0"/>
              <w:right w:val="single" w:color="auto" w:sz="4" w:space="0"/>
            </w:tcBorders>
          </w:tcPr>
          <w:p w14:paraId="61661942">
            <w:pPr>
              <w:spacing w:before="156" w:beforeLines="50" w:after="156" w:afterLines="50"/>
              <w:ind w:firstLine="630" w:firstLineChars="300"/>
              <w:rPr>
                <w:rFonts w:ascii="宋体" w:hAnsi="宋体" w:eastAsia="宋体"/>
                <w:szCs w:val="21"/>
              </w:rPr>
            </w:pPr>
            <w:r>
              <w:rPr>
                <w:rFonts w:hint="eastAsia" w:ascii="宋体" w:hAnsi="宋体" w:eastAsia="宋体"/>
                <w:szCs w:val="21"/>
              </w:rPr>
              <w:t>20-30</w:t>
            </w:r>
          </w:p>
          <w:p w14:paraId="24E3D717">
            <w:pPr>
              <w:spacing w:before="156" w:beforeLines="50" w:after="156" w:afterLines="50"/>
              <w:rPr>
                <w:rFonts w:ascii="宋体" w:hAnsi="宋体" w:eastAsia="宋体"/>
                <w:szCs w:val="21"/>
              </w:rPr>
            </w:pPr>
            <w:r>
              <w:rPr>
                <w:rFonts w:hint="eastAsia" w:ascii="宋体" w:hAnsi="宋体" w:eastAsia="宋体"/>
                <w:szCs w:val="21"/>
              </w:rPr>
              <w:t xml:space="preserve">      良</w:t>
            </w:r>
          </w:p>
          <w:p w14:paraId="2E4C7136">
            <w:pPr>
              <w:spacing w:before="156" w:beforeLines="50" w:after="156" w:afterLines="50"/>
              <w:rPr>
                <w:rFonts w:ascii="宋体" w:hAnsi="宋体" w:eastAsia="宋体"/>
                <w:szCs w:val="21"/>
              </w:rPr>
            </w:pPr>
            <w:r>
              <w:rPr>
                <w:rFonts w:hint="eastAsia" w:ascii="宋体" w:hAnsi="宋体" w:eastAsia="宋体"/>
                <w:szCs w:val="21"/>
              </w:rPr>
              <w:t xml:space="preserve">      B</w:t>
            </w:r>
          </w:p>
        </w:tc>
        <w:tc>
          <w:tcPr>
            <w:tcW w:w="1843" w:type="dxa"/>
            <w:tcBorders>
              <w:top w:val="single" w:color="auto" w:sz="4" w:space="0"/>
              <w:left w:val="single" w:color="auto" w:sz="4" w:space="0"/>
              <w:bottom w:val="single" w:color="auto" w:sz="4" w:space="0"/>
              <w:right w:val="single" w:color="auto" w:sz="4" w:space="0"/>
            </w:tcBorders>
          </w:tcPr>
          <w:p w14:paraId="00AC55A7">
            <w:pPr>
              <w:spacing w:before="156" w:beforeLines="50" w:after="156" w:afterLines="50"/>
              <w:ind w:firstLine="210" w:firstLineChars="100"/>
              <w:rPr>
                <w:rFonts w:ascii="宋体" w:hAnsi="宋体" w:eastAsia="宋体"/>
                <w:szCs w:val="21"/>
              </w:rPr>
            </w:pPr>
            <w:r>
              <w:rPr>
                <w:rFonts w:hint="eastAsia" w:ascii="宋体" w:hAnsi="宋体" w:eastAsia="宋体"/>
                <w:szCs w:val="21"/>
              </w:rPr>
              <w:t>10-19</w:t>
            </w:r>
          </w:p>
          <w:p w14:paraId="6E5E9380">
            <w:pPr>
              <w:spacing w:before="156" w:beforeLines="50" w:after="156" w:afterLines="50"/>
              <w:ind w:firstLine="420"/>
              <w:rPr>
                <w:rFonts w:ascii="宋体" w:hAnsi="宋体" w:eastAsia="宋体"/>
                <w:szCs w:val="21"/>
              </w:rPr>
            </w:pPr>
            <w:r>
              <w:rPr>
                <w:rFonts w:hint="eastAsia" w:ascii="宋体" w:hAnsi="宋体" w:eastAsia="宋体"/>
                <w:szCs w:val="21"/>
              </w:rPr>
              <w:t>中</w:t>
            </w:r>
          </w:p>
          <w:p w14:paraId="45A00187">
            <w:pPr>
              <w:spacing w:before="156" w:beforeLines="50" w:after="156" w:afterLines="50"/>
              <w:ind w:firstLine="420" w:firstLineChars="200"/>
              <w:rPr>
                <w:rFonts w:ascii="宋体" w:hAnsi="宋体" w:eastAsia="宋体"/>
                <w:szCs w:val="21"/>
              </w:rPr>
            </w:pPr>
            <w:r>
              <w:rPr>
                <w:rFonts w:hint="eastAsia" w:ascii="宋体" w:hAnsi="宋体" w:eastAsia="宋体"/>
                <w:szCs w:val="21"/>
              </w:rPr>
              <w:t>C</w:t>
            </w:r>
          </w:p>
        </w:tc>
        <w:tc>
          <w:tcPr>
            <w:tcW w:w="1779" w:type="dxa"/>
            <w:tcBorders>
              <w:top w:val="single" w:color="auto" w:sz="4" w:space="0"/>
              <w:left w:val="single" w:color="auto" w:sz="4" w:space="0"/>
              <w:bottom w:val="single" w:color="auto" w:sz="4" w:space="0"/>
              <w:right w:val="single" w:color="auto" w:sz="4" w:space="0"/>
            </w:tcBorders>
          </w:tcPr>
          <w:p w14:paraId="1B43013A">
            <w:pPr>
              <w:spacing w:before="156" w:beforeLines="50" w:after="156" w:afterLines="50"/>
              <w:ind w:firstLine="210" w:firstLineChars="100"/>
              <w:rPr>
                <w:rFonts w:ascii="宋体" w:hAnsi="宋体" w:eastAsia="宋体"/>
                <w:szCs w:val="21"/>
              </w:rPr>
            </w:pPr>
            <w:r>
              <w:rPr>
                <w:rFonts w:hint="eastAsia" w:ascii="宋体" w:hAnsi="宋体" w:eastAsia="宋体"/>
                <w:szCs w:val="21"/>
              </w:rPr>
              <w:t>8-10</w:t>
            </w:r>
          </w:p>
          <w:p w14:paraId="7492C9B6">
            <w:pPr>
              <w:spacing w:before="156" w:beforeLines="50" w:after="156" w:afterLines="50"/>
              <w:rPr>
                <w:rFonts w:ascii="宋体" w:hAnsi="宋体" w:eastAsia="宋体"/>
                <w:szCs w:val="21"/>
              </w:rPr>
            </w:pPr>
            <w:r>
              <w:rPr>
                <w:rFonts w:hint="eastAsia" w:ascii="宋体" w:hAnsi="宋体" w:eastAsia="宋体"/>
                <w:szCs w:val="21"/>
              </w:rPr>
              <w:t xml:space="preserve">  合格</w:t>
            </w:r>
          </w:p>
          <w:p w14:paraId="26677AE0">
            <w:pPr>
              <w:spacing w:before="156" w:beforeLines="50" w:after="156" w:afterLines="50"/>
              <w:rPr>
                <w:rFonts w:ascii="宋体" w:hAnsi="宋体" w:eastAsia="宋体"/>
                <w:szCs w:val="21"/>
              </w:rPr>
            </w:pPr>
            <w:r>
              <w:rPr>
                <w:rFonts w:hint="eastAsia" w:ascii="宋体" w:hAnsi="宋体" w:eastAsia="宋体"/>
                <w:szCs w:val="21"/>
              </w:rPr>
              <w:t xml:space="preserve">  D</w:t>
            </w:r>
          </w:p>
        </w:tc>
        <w:tc>
          <w:tcPr>
            <w:tcW w:w="1779" w:type="dxa"/>
            <w:tcBorders>
              <w:top w:val="single" w:color="auto" w:sz="4" w:space="0"/>
              <w:left w:val="single" w:color="auto" w:sz="4" w:space="0"/>
              <w:bottom w:val="single" w:color="auto" w:sz="4" w:space="0"/>
              <w:right w:val="single" w:color="auto" w:sz="4" w:space="0"/>
            </w:tcBorders>
          </w:tcPr>
          <w:p w14:paraId="083DF0DC">
            <w:pPr>
              <w:spacing w:before="156" w:beforeLines="50" w:after="156" w:afterLines="50"/>
              <w:rPr>
                <w:rFonts w:ascii="宋体" w:hAnsi="宋体" w:eastAsia="宋体"/>
                <w:szCs w:val="21"/>
              </w:rPr>
            </w:pPr>
            <w:r>
              <w:rPr>
                <w:rFonts w:hint="eastAsia" w:ascii="宋体" w:hAnsi="宋体" w:eastAsia="宋体"/>
                <w:szCs w:val="21"/>
              </w:rPr>
              <w:t xml:space="preserve">  1-8</w:t>
            </w:r>
          </w:p>
          <w:p w14:paraId="4B4DCC43">
            <w:pPr>
              <w:spacing w:before="156" w:beforeLines="50" w:after="156" w:afterLines="50"/>
              <w:rPr>
                <w:rFonts w:ascii="宋体" w:hAnsi="宋体" w:eastAsia="宋体"/>
                <w:szCs w:val="21"/>
              </w:rPr>
            </w:pPr>
            <w:r>
              <w:rPr>
                <w:rFonts w:hint="eastAsia" w:ascii="宋体" w:hAnsi="宋体" w:eastAsia="宋体"/>
                <w:szCs w:val="21"/>
              </w:rPr>
              <w:t xml:space="preserve">   不合格</w:t>
            </w:r>
          </w:p>
          <w:p w14:paraId="6AE1AD41">
            <w:pPr>
              <w:spacing w:before="156" w:beforeLines="50" w:after="156" w:afterLines="50"/>
              <w:rPr>
                <w:rFonts w:ascii="宋体" w:hAnsi="宋体" w:eastAsia="宋体"/>
                <w:szCs w:val="21"/>
              </w:rPr>
            </w:pPr>
            <w:r>
              <w:rPr>
                <w:rFonts w:hint="eastAsia" w:ascii="宋体" w:hAnsi="宋体" w:eastAsia="宋体"/>
                <w:szCs w:val="21"/>
              </w:rPr>
              <w:t xml:space="preserve">   F</w:t>
            </w:r>
          </w:p>
        </w:tc>
      </w:tr>
      <w:tr w14:paraId="6CDC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B07BB4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7075C2BC">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w:t>
            </w:r>
            <w:r>
              <w:rPr>
                <w:rFonts w:hint="eastAsia" w:ascii="宋体" w:hAnsi="宋体" w:eastAsia="宋体"/>
                <w:b/>
                <w:bCs/>
                <w:kern w:val="0"/>
                <w:szCs w:val="21"/>
              </w:rPr>
              <w:t>3</w:t>
            </w:r>
          </w:p>
          <w:p w14:paraId="0D0D93B3">
            <w:pPr>
              <w:spacing w:before="156" w:beforeLines="50" w:after="156" w:afterLines="50"/>
              <w:jc w:val="center"/>
              <w:rPr>
                <w:rFonts w:ascii="宋体" w:hAnsi="宋体" w:eastAsia="宋体"/>
                <w:b/>
                <w:bCs/>
                <w:kern w:val="0"/>
                <w:szCs w:val="21"/>
              </w:rPr>
            </w:pPr>
          </w:p>
          <w:p w14:paraId="4AD9A527">
            <w:pPr>
              <w:spacing w:before="156" w:beforeLines="50" w:after="156" w:afterLines="50"/>
              <w:jc w:val="center"/>
              <w:rPr>
                <w:rFonts w:ascii="宋体" w:hAnsi="宋体" w:eastAsia="宋体"/>
                <w:b/>
                <w:bCs/>
                <w:kern w:val="0"/>
                <w:szCs w:val="21"/>
              </w:rPr>
            </w:pPr>
          </w:p>
          <w:p w14:paraId="067F33BD">
            <w:pPr>
              <w:spacing w:before="156" w:beforeLines="50" w:after="156" w:afterLines="50"/>
              <w:jc w:val="center"/>
              <w:rPr>
                <w:rFonts w:ascii="宋体" w:hAnsi="宋体" w:eastAsia="宋体"/>
                <w:b/>
                <w:bCs/>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236F3232">
            <w:pPr>
              <w:spacing w:before="156" w:beforeLines="50" w:after="156" w:afterLines="50"/>
              <w:ind w:firstLine="420" w:firstLineChars="200"/>
              <w:rPr>
                <w:rFonts w:ascii="宋体" w:hAnsi="宋体" w:eastAsia="宋体"/>
                <w:szCs w:val="21"/>
              </w:rPr>
            </w:pPr>
            <w:r>
              <w:rPr>
                <w:rFonts w:hint="eastAsia" w:ascii="宋体" w:hAnsi="宋体" w:eastAsia="宋体"/>
                <w:szCs w:val="21"/>
              </w:rPr>
              <w:t>25-30</w:t>
            </w:r>
          </w:p>
          <w:p w14:paraId="58F091B5">
            <w:pPr>
              <w:spacing w:before="156" w:beforeLines="50" w:after="156" w:afterLines="50"/>
              <w:ind w:firstLine="420" w:firstLineChars="200"/>
              <w:rPr>
                <w:rFonts w:ascii="宋体" w:hAnsi="宋体" w:eastAsia="宋体"/>
                <w:szCs w:val="21"/>
              </w:rPr>
            </w:pPr>
            <w:r>
              <w:rPr>
                <w:rFonts w:hint="eastAsia" w:ascii="宋体" w:hAnsi="宋体" w:eastAsia="宋体"/>
                <w:szCs w:val="21"/>
              </w:rPr>
              <w:t>优 A</w:t>
            </w:r>
          </w:p>
        </w:tc>
        <w:tc>
          <w:tcPr>
            <w:tcW w:w="1984" w:type="dxa"/>
            <w:tcBorders>
              <w:top w:val="single" w:color="auto" w:sz="4" w:space="0"/>
              <w:left w:val="single" w:color="auto" w:sz="4" w:space="0"/>
              <w:bottom w:val="single" w:color="auto" w:sz="4" w:space="0"/>
              <w:right w:val="single" w:color="auto" w:sz="4" w:space="0"/>
            </w:tcBorders>
          </w:tcPr>
          <w:p w14:paraId="5751CDA5">
            <w:pPr>
              <w:spacing w:before="156" w:beforeLines="50" w:after="156" w:afterLines="50"/>
              <w:ind w:firstLine="630" w:firstLineChars="300"/>
              <w:rPr>
                <w:rFonts w:ascii="宋体" w:hAnsi="宋体" w:eastAsia="宋体"/>
                <w:szCs w:val="21"/>
              </w:rPr>
            </w:pPr>
            <w:r>
              <w:rPr>
                <w:rFonts w:hint="eastAsia" w:ascii="宋体" w:hAnsi="宋体" w:eastAsia="宋体"/>
                <w:szCs w:val="21"/>
              </w:rPr>
              <w:t>20-25</w:t>
            </w:r>
          </w:p>
          <w:p w14:paraId="2012A180">
            <w:pPr>
              <w:spacing w:before="156" w:beforeLines="50" w:after="156" w:afterLines="50"/>
              <w:ind w:firstLine="630" w:firstLineChars="300"/>
              <w:rPr>
                <w:rFonts w:ascii="宋体" w:hAnsi="宋体" w:eastAsia="宋体"/>
                <w:szCs w:val="21"/>
              </w:rPr>
            </w:pPr>
            <w:r>
              <w:rPr>
                <w:rFonts w:hint="eastAsia" w:ascii="宋体" w:hAnsi="宋体" w:eastAsia="宋体"/>
                <w:szCs w:val="21"/>
              </w:rPr>
              <w:t>良 B</w:t>
            </w:r>
          </w:p>
        </w:tc>
        <w:tc>
          <w:tcPr>
            <w:tcW w:w="1843" w:type="dxa"/>
            <w:tcBorders>
              <w:top w:val="single" w:color="auto" w:sz="4" w:space="0"/>
              <w:left w:val="single" w:color="auto" w:sz="4" w:space="0"/>
              <w:bottom w:val="single" w:color="auto" w:sz="4" w:space="0"/>
              <w:right w:val="single" w:color="auto" w:sz="4" w:space="0"/>
            </w:tcBorders>
          </w:tcPr>
          <w:p w14:paraId="699539A2">
            <w:pPr>
              <w:spacing w:before="156" w:beforeLines="50" w:after="156" w:afterLines="50"/>
              <w:ind w:firstLine="210" w:firstLineChars="100"/>
              <w:rPr>
                <w:rFonts w:ascii="宋体" w:hAnsi="宋体" w:eastAsia="宋体"/>
                <w:szCs w:val="21"/>
              </w:rPr>
            </w:pPr>
            <w:r>
              <w:rPr>
                <w:rFonts w:hint="eastAsia" w:ascii="宋体" w:hAnsi="宋体" w:eastAsia="宋体"/>
                <w:szCs w:val="21"/>
              </w:rPr>
              <w:t xml:space="preserve">10-20 </w:t>
            </w:r>
          </w:p>
          <w:p w14:paraId="05CA6FB0">
            <w:pPr>
              <w:spacing w:before="156" w:beforeLines="50" w:after="156" w:afterLines="50"/>
              <w:ind w:firstLine="210" w:firstLineChars="100"/>
              <w:rPr>
                <w:rFonts w:ascii="宋体" w:hAnsi="宋体" w:eastAsia="宋体"/>
                <w:szCs w:val="21"/>
              </w:rPr>
            </w:pPr>
            <w:r>
              <w:rPr>
                <w:rFonts w:hint="eastAsia" w:ascii="宋体" w:hAnsi="宋体" w:eastAsia="宋体"/>
                <w:szCs w:val="21"/>
              </w:rPr>
              <w:t>中C</w:t>
            </w:r>
          </w:p>
        </w:tc>
        <w:tc>
          <w:tcPr>
            <w:tcW w:w="1779" w:type="dxa"/>
            <w:tcBorders>
              <w:top w:val="single" w:color="auto" w:sz="4" w:space="0"/>
              <w:left w:val="single" w:color="auto" w:sz="4" w:space="0"/>
              <w:bottom w:val="single" w:color="auto" w:sz="4" w:space="0"/>
              <w:right w:val="single" w:color="auto" w:sz="4" w:space="0"/>
            </w:tcBorders>
          </w:tcPr>
          <w:p w14:paraId="2B85A145">
            <w:pPr>
              <w:spacing w:before="156" w:beforeLines="50" w:after="156" w:afterLines="50"/>
              <w:ind w:firstLine="210" w:firstLineChars="100"/>
              <w:rPr>
                <w:rFonts w:ascii="宋体" w:hAnsi="宋体" w:eastAsia="宋体"/>
                <w:szCs w:val="21"/>
              </w:rPr>
            </w:pPr>
            <w:r>
              <w:rPr>
                <w:rFonts w:hint="eastAsia" w:ascii="宋体" w:hAnsi="宋体" w:eastAsia="宋体"/>
                <w:szCs w:val="21"/>
              </w:rPr>
              <w:t>8-10</w:t>
            </w:r>
          </w:p>
          <w:p w14:paraId="422B71A7">
            <w:pPr>
              <w:spacing w:before="156" w:beforeLines="50" w:after="156" w:afterLines="50"/>
              <w:ind w:firstLine="210" w:firstLineChars="100"/>
              <w:rPr>
                <w:rFonts w:ascii="宋体" w:hAnsi="宋体" w:eastAsia="宋体"/>
                <w:szCs w:val="21"/>
              </w:rPr>
            </w:pPr>
            <w:r>
              <w:rPr>
                <w:rFonts w:hint="eastAsia" w:ascii="宋体" w:hAnsi="宋体" w:eastAsia="宋体"/>
                <w:szCs w:val="21"/>
              </w:rPr>
              <w:t>合格 D</w:t>
            </w:r>
          </w:p>
        </w:tc>
        <w:tc>
          <w:tcPr>
            <w:tcW w:w="1779" w:type="dxa"/>
            <w:tcBorders>
              <w:top w:val="single" w:color="auto" w:sz="4" w:space="0"/>
              <w:left w:val="single" w:color="auto" w:sz="4" w:space="0"/>
              <w:bottom w:val="single" w:color="auto" w:sz="4" w:space="0"/>
              <w:right w:val="single" w:color="auto" w:sz="4" w:space="0"/>
            </w:tcBorders>
          </w:tcPr>
          <w:p w14:paraId="3DD25530">
            <w:pPr>
              <w:spacing w:before="156" w:beforeLines="50" w:after="156" w:afterLines="50"/>
              <w:rPr>
                <w:rFonts w:ascii="宋体" w:hAnsi="宋体" w:eastAsia="宋体"/>
                <w:szCs w:val="21"/>
              </w:rPr>
            </w:pPr>
            <w:r>
              <w:rPr>
                <w:rFonts w:hint="eastAsia" w:ascii="宋体" w:hAnsi="宋体" w:eastAsia="宋体"/>
                <w:szCs w:val="21"/>
              </w:rPr>
              <w:t>1-8</w:t>
            </w:r>
          </w:p>
          <w:p w14:paraId="17B3EEC9">
            <w:pPr>
              <w:spacing w:before="156" w:beforeLines="50" w:after="156" w:afterLines="50"/>
              <w:rPr>
                <w:rFonts w:ascii="宋体" w:hAnsi="宋体" w:eastAsia="宋体"/>
                <w:szCs w:val="21"/>
              </w:rPr>
            </w:pPr>
            <w:r>
              <w:rPr>
                <w:rFonts w:hint="eastAsia" w:ascii="宋体" w:hAnsi="宋体" w:eastAsia="宋体"/>
                <w:szCs w:val="21"/>
              </w:rPr>
              <w:t>不合格F</w:t>
            </w:r>
          </w:p>
        </w:tc>
      </w:tr>
      <w:bookmarkEnd w:id="4"/>
    </w:tbl>
    <w:p w14:paraId="22580F75">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20B06040202020202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E43F8D"/>
    <w:multiLevelType w:val="multilevel"/>
    <w:tmpl w:val="31E43F8D"/>
    <w:lvl w:ilvl="0" w:tentative="0">
      <w:start w:val="1"/>
      <w:numFmt w:val="decimal"/>
      <w:lvlText w:val="%1."/>
      <w:lvlJc w:val="left"/>
      <w:pPr>
        <w:ind w:left="720" w:hanging="360"/>
      </w:pPr>
      <w:rPr>
        <w:rFonts w:hint="default"/>
      </w:rPr>
    </w:lvl>
    <w:lvl w:ilvl="1" w:tentative="0">
      <w:start w:val="1"/>
      <w:numFmt w:val="lowerLetter"/>
      <w:lvlText w:val="%2)"/>
      <w:lvlJc w:val="left"/>
      <w:pPr>
        <w:ind w:left="1240" w:hanging="440"/>
      </w:p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1E5724"/>
    <w:rsid w:val="00022CBB"/>
    <w:rsid w:val="00077A5F"/>
    <w:rsid w:val="00082E21"/>
    <w:rsid w:val="000A400B"/>
    <w:rsid w:val="000F054A"/>
    <w:rsid w:val="001C25D8"/>
    <w:rsid w:val="001E5724"/>
    <w:rsid w:val="001E6280"/>
    <w:rsid w:val="00212804"/>
    <w:rsid w:val="00242673"/>
    <w:rsid w:val="00254AA7"/>
    <w:rsid w:val="00285327"/>
    <w:rsid w:val="002904DA"/>
    <w:rsid w:val="002A7568"/>
    <w:rsid w:val="002D05CF"/>
    <w:rsid w:val="00313A87"/>
    <w:rsid w:val="003206BD"/>
    <w:rsid w:val="00322986"/>
    <w:rsid w:val="0034254B"/>
    <w:rsid w:val="00357990"/>
    <w:rsid w:val="0038665C"/>
    <w:rsid w:val="00401675"/>
    <w:rsid w:val="004070CF"/>
    <w:rsid w:val="00443C38"/>
    <w:rsid w:val="00470FB4"/>
    <w:rsid w:val="005A0378"/>
    <w:rsid w:val="005A6FCB"/>
    <w:rsid w:val="00665621"/>
    <w:rsid w:val="006D367B"/>
    <w:rsid w:val="006E4F82"/>
    <w:rsid w:val="006F64C9"/>
    <w:rsid w:val="007639A2"/>
    <w:rsid w:val="007B1E26"/>
    <w:rsid w:val="007C379D"/>
    <w:rsid w:val="007C62ED"/>
    <w:rsid w:val="007E39E3"/>
    <w:rsid w:val="008128AD"/>
    <w:rsid w:val="008560E2"/>
    <w:rsid w:val="00886EBF"/>
    <w:rsid w:val="00972FA8"/>
    <w:rsid w:val="00974E8D"/>
    <w:rsid w:val="009D7163"/>
    <w:rsid w:val="00A03BBD"/>
    <w:rsid w:val="00A61EFD"/>
    <w:rsid w:val="00AA4570"/>
    <w:rsid w:val="00AA630A"/>
    <w:rsid w:val="00AC2CCA"/>
    <w:rsid w:val="00AE3D1A"/>
    <w:rsid w:val="00B03909"/>
    <w:rsid w:val="00B10760"/>
    <w:rsid w:val="00B40ECD"/>
    <w:rsid w:val="00B47312"/>
    <w:rsid w:val="00B8065D"/>
    <w:rsid w:val="00BA23F0"/>
    <w:rsid w:val="00C00798"/>
    <w:rsid w:val="00C54636"/>
    <w:rsid w:val="00CA53B2"/>
    <w:rsid w:val="00D02F99"/>
    <w:rsid w:val="00D13271"/>
    <w:rsid w:val="00D14471"/>
    <w:rsid w:val="00D330E1"/>
    <w:rsid w:val="00D417A1"/>
    <w:rsid w:val="00D504B7"/>
    <w:rsid w:val="00D715F7"/>
    <w:rsid w:val="00DC036A"/>
    <w:rsid w:val="00DC40A0"/>
    <w:rsid w:val="00DD7B5F"/>
    <w:rsid w:val="00DE3F4A"/>
    <w:rsid w:val="00DE7849"/>
    <w:rsid w:val="00E05E8B"/>
    <w:rsid w:val="00E366AB"/>
    <w:rsid w:val="00E76E34"/>
    <w:rsid w:val="00EC3BC5"/>
    <w:rsid w:val="00ED7F81"/>
    <w:rsid w:val="00F56396"/>
    <w:rsid w:val="00F8521C"/>
    <w:rsid w:val="00FB77A1"/>
    <w:rsid w:val="00FC24B5"/>
    <w:rsid w:val="40FA0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批注框文本 字符"/>
    <w:basedOn w:val="8"/>
    <w:link w:val="3"/>
    <w:semiHidden/>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7</Pages>
  <Words>2449</Words>
  <Characters>2958</Characters>
  <Lines>25</Lines>
  <Paragraphs>7</Paragraphs>
  <TotalTime>5</TotalTime>
  <ScaleCrop>false</ScaleCrop>
  <LinksUpToDate>false</LinksUpToDate>
  <CharactersWithSpaces>3210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2024-08-31T17:32:00Z</dcterms:created>
  <dc:creator>Windows User</dc:creator>
  <cp:lastModifiedBy>王一成</cp:lastModifiedBy>
  <cp:lastPrinted>2020-12-24T07:17:00Z</cp:lastPrinted>
  <dcterms:modified xsi:type="dcterms:W3CDTF">2024-09-02T04:23:33Z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AD36E5BF0DB147FEB3C2F7DC66619B90_12</vt:lpwstr>
  </property>
</Properties>
</file>